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6F63" w14:textId="6275501A" w:rsidR="00775FB4" w:rsidRPr="00AB1E29" w:rsidRDefault="00775FB4" w:rsidP="00775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2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Studije slučaja</w:t>
      </w:r>
      <w:r w:rsidR="004A1F0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 xml:space="preserve"> u provedbi</w:t>
      </w:r>
    </w:p>
    <w:p w14:paraId="45D56F64" w14:textId="77777777" w:rsidR="00775FB4" w:rsidRPr="0043251E" w:rsidRDefault="00775FB4" w:rsidP="00775FB4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</w:rPr>
      </w:pPr>
      <w:r w:rsidRPr="0043251E">
        <w:rPr>
          <w:rFonts w:ascii="Times New Roman" w:eastAsia="Times New Roman" w:hAnsi="Times New Roman" w:cs="Times New Roman"/>
          <w:color w:val="7030A0"/>
          <w:lang w:bidi="hr-HR"/>
        </w:rPr>
        <w:tab/>
      </w:r>
    </w:p>
    <w:p w14:paraId="45D56F65" w14:textId="4A2D5300" w:rsidR="00775FB4" w:rsidRPr="00B402E7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2E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Primjeri kaznenih i upravnih</w:t>
      </w:r>
      <w:r w:rsidR="00AF6EDC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r w:rsidRPr="00B402E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</w:p>
    <w:p w14:paraId="45D56F66" w14:textId="77777777" w:rsidR="00775FB4" w:rsidRPr="00B402E7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5D56F67" w14:textId="77777777" w:rsidR="00775FB4" w:rsidRPr="00BD28D4" w:rsidRDefault="00775FB4" w:rsidP="00775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28D4">
        <w:rPr>
          <w:rFonts w:ascii="Times New Roman" w:eastAsia="Times New Roman" w:hAnsi="Times New Roman" w:cs="Times New Roman"/>
          <w:i/>
          <w:lang w:bidi="hr-HR"/>
        </w:rPr>
        <w:t>Lažno predstavljanje i lažne izjave na otpremnim dokumentima</w:t>
      </w:r>
    </w:p>
    <w:p w14:paraId="45D56F68" w14:textId="77777777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Trans (Sjeverna Amerika)/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Roger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>/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Muhammad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Bhatti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</w:p>
    <w:p w14:paraId="45D56F69" w14:textId="1316C7D2" w:rsidR="00775FB4" w:rsidRPr="00BD28D4" w:rsidRDefault="00013896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  <w:lang w:bidi="hr-HR"/>
        </w:rPr>
        <w:t>Prekršaj</w:t>
      </w:r>
      <w:r w:rsidR="00775FB4" w:rsidRPr="00BD28D4">
        <w:rPr>
          <w:rFonts w:ascii="Times New Roman" w:eastAsia="Times New Roman" w:hAnsi="Times New Roman" w:cs="Times New Roman"/>
          <w:u w:val="single"/>
          <w:lang w:bidi="hr-HR"/>
        </w:rPr>
        <w:t>:</w:t>
      </w:r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-Trans (Sjeverna Amerika), </w:t>
      </w:r>
      <w:r w:rsidR="00AF6EDC">
        <w:rPr>
          <w:rFonts w:ascii="Times New Roman" w:eastAsia="Times New Roman" w:hAnsi="Times New Roman" w:cs="Times New Roman"/>
          <w:lang w:bidi="hr-HR"/>
        </w:rPr>
        <w:t xml:space="preserve">četvrt </w:t>
      </w:r>
      <w:proofErr w:type="spellStart"/>
      <w:r w:rsidR="00AF6EDC">
        <w:rPr>
          <w:rFonts w:ascii="Times New Roman" w:eastAsia="Times New Roman" w:hAnsi="Times New Roman" w:cs="Times New Roman"/>
          <w:lang w:bidi="hr-HR"/>
        </w:rPr>
        <w:t>Jamaica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, New York, </w:t>
      </w:r>
      <w:r w:rsidR="00AF6EDC">
        <w:rPr>
          <w:rFonts w:ascii="Times New Roman" w:eastAsia="Times New Roman" w:hAnsi="Times New Roman" w:cs="Times New Roman"/>
          <w:lang w:bidi="hr-HR"/>
        </w:rPr>
        <w:t>otpremničko poduzeće</w:t>
      </w:r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,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Roger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, umirovljeni viši dopredsjednik trgovačkog društva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Gondrand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 AG, sa sjedištem u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Baselu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, Švicarska, i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Muhammad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Bhatti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, voditelj poslovanja </w:t>
      </w:r>
      <w:proofErr w:type="spellStart"/>
      <w:r w:rsidR="00775FB4"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="00775FB4" w:rsidRPr="00BD28D4">
        <w:rPr>
          <w:rFonts w:ascii="Times New Roman" w:eastAsia="Times New Roman" w:hAnsi="Times New Roman" w:cs="Times New Roman"/>
          <w:lang w:bidi="hr-HR"/>
        </w:rPr>
        <w:t xml:space="preserve">-Transa, dali su lažne izjave u vezi s pokušajem izvoza strojeva za rezanje cijevi u Iran preko Njemačke. </w:t>
      </w:r>
    </w:p>
    <w:p w14:paraId="45D56F6A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6B" w14:textId="28A15034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Sve tri strane priznale su krivnju na optužbe za davanje lažnih izjava. Dana 24. listopada 2007. godine,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="00410550">
        <w:rPr>
          <w:rFonts w:ascii="Times New Roman" w:eastAsia="Times New Roman" w:hAnsi="Times New Roman" w:cs="Times New Roman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Trans je osuđen na godinu dana uvjetne kazne te mu je izrečena i novčana kazna u iznosu od 34.000 dolara;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Roger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osuđen na godinu dana uvjetne kazne te mu je izrečena i novčana kazna u iznosu od 5.000 dolara;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Muhammad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Batti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osuđen na godinu dana uvjetne kazne. U povezanim upravnim predmetima,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Bhatti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platio 34.000 dolara novčane kazne,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platio 25.500 dolara novčane kazne dok je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Trans platio 34.000 dolara novčane kazne.</w:t>
      </w:r>
    </w:p>
    <w:p w14:paraId="45D56F6C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6D" w14:textId="77777777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Fulfill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Your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Packages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(FYP)</w:t>
      </w:r>
    </w:p>
    <w:p w14:paraId="45D56F6E" w14:textId="15F66579" w:rsidR="00775FB4" w:rsidRPr="00BD28D4" w:rsidRDefault="00775FB4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Trgovačko društvo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Fulfill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Your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Packages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(FYP) iz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Greshama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u saveznoj državi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Oregon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>, dozvolilo je svojim stranim kupcima u Kini da koriste njihovu američku adresu za kupnju i isporuku predmeta američkih tvrtki koje je FYP kasnije ponovno pakirao i/ili ih ponovno označi</w:t>
      </w:r>
      <w:r w:rsidR="00AF6EDC">
        <w:rPr>
          <w:rFonts w:ascii="Times New Roman" w:eastAsia="Times New Roman" w:hAnsi="Times New Roman" w:cs="Times New Roman"/>
          <w:lang w:bidi="hr-HR"/>
        </w:rPr>
        <w:t>l</w:t>
      </w:r>
      <w:r w:rsidRPr="00BD28D4">
        <w:rPr>
          <w:rFonts w:ascii="Times New Roman" w:eastAsia="Times New Roman" w:hAnsi="Times New Roman" w:cs="Times New Roman"/>
          <w:lang w:bidi="hr-HR"/>
        </w:rPr>
        <w:t>o za izvoz u Kinu. U lipnju 2014., FYP je sudjelovalo u transakciji ili je izvrši</w:t>
      </w:r>
      <w:r w:rsidR="00AF6EDC">
        <w:rPr>
          <w:rFonts w:ascii="Times New Roman" w:eastAsia="Times New Roman" w:hAnsi="Times New Roman" w:cs="Times New Roman"/>
          <w:lang w:bidi="hr-HR"/>
        </w:rPr>
        <w:t>l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o druge radnje s namjerom da izbjegne propise o kontroli izvoza u Sjedinjenim Američkim Državama u vezi s planiranim izvozom FLIR termalne kamere klasificirane kao U.S. ECCN 6A003 (američki klasifikacijska oznaka za kontrolu izvoza) i kontrolirane </w:t>
      </w:r>
      <w:r w:rsidR="00AF6EDC">
        <w:rPr>
          <w:rFonts w:ascii="Times New Roman" w:eastAsia="Times New Roman" w:hAnsi="Times New Roman" w:cs="Times New Roman"/>
          <w:lang w:bidi="hr-HR"/>
        </w:rPr>
        <w:t>zbog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nacionalne sigurnosti i regionalne stabilnosti. Konkretno, FYP kupac kupio je kameru od američkog distributera koji se nalazi na Floridi sa dostavom u urede FYP-a 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Oregonu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>, namijenjenu za krajnji izvoz u Kinu. FYP</w:t>
      </w:r>
      <w:r w:rsidR="00B11312">
        <w:rPr>
          <w:rFonts w:ascii="Times New Roman" w:eastAsia="Times New Roman" w:hAnsi="Times New Roman" w:cs="Times New Roman"/>
          <w:lang w:bidi="hr-HR"/>
        </w:rPr>
        <w:t>-ov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kupac dao je adresu FYP-a kao svoju vlastitu i nije obavijestio američkog distributera o predviđenom izvozu termalne kamere u Kinu. Pošiljka koju je distributer poslao FYP-u sadržavala je račun koji je upozoravao na činjenicu da se radi o proizvodu koji podliježe kontroli izvoza što predstavlja kršenje američkog zakona o izvozu proizvoda u određene zemlje bez tražene izvozne dozvole. Osim toga, etiketa pričvršćena na predmetu navodi kako je predmet bio podložan propisima za kontrolu izvoza američkog Ministarstva trgovine te </w:t>
      </w:r>
      <w:r w:rsidR="00B11312">
        <w:rPr>
          <w:rFonts w:ascii="Times New Roman" w:eastAsia="Times New Roman" w:hAnsi="Times New Roman" w:cs="Times New Roman"/>
          <w:lang w:bidi="hr-HR"/>
        </w:rPr>
        <w:t xml:space="preserve">se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stoga ne smije izvoziti izvan granica SAD-a ili Kanade bez američke izvozne dozvole. U pripremama za izvoz termalne kamere u Kinu, FYP je pripremio naljepnicu za otpremu koja lažno prikazuje predmet kao </w:t>
      </w:r>
      <w:r w:rsidR="00B11312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metaln</w:t>
      </w:r>
      <w:r w:rsidR="00B11312">
        <w:rPr>
          <w:rFonts w:ascii="Times New Roman" w:eastAsia="Times New Roman" w:hAnsi="Times New Roman" w:cs="Times New Roman"/>
          <w:lang w:bidi="hr-HR"/>
        </w:rPr>
        <w:t xml:space="preserve">e </w:t>
      </w:r>
      <w:r w:rsidRPr="00BD28D4">
        <w:rPr>
          <w:rFonts w:ascii="Times New Roman" w:eastAsia="Times New Roman" w:hAnsi="Times New Roman" w:cs="Times New Roman"/>
          <w:lang w:bidi="hr-HR"/>
        </w:rPr>
        <w:t>dijelov</w:t>
      </w:r>
      <w:r w:rsidR="00B11312">
        <w:rPr>
          <w:rFonts w:ascii="Times New Roman" w:eastAsia="Times New Roman" w:hAnsi="Times New Roman" w:cs="Times New Roman"/>
          <w:lang w:bidi="hr-HR"/>
        </w:rPr>
        <w:t>e“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vrijednosti od 255 dolara, iako je sustav za narudžbe označio predmet kao pribor za ugradnju infracrvene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webkamere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/nadzorne kamere i usprkos činjenici da je račun distributera označio predmet kao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termovizijsku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kameru vrijednosti 2.617 dolara. </w:t>
      </w:r>
    </w:p>
    <w:p w14:paraId="45D56F6F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70" w14:textId="670968C8" w:rsidR="00775FB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bidi="hr-HR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17. lipnja 2016. FYP je pristao platiti novčanu kaznu u iznosu od 250.000 dolara umanjenu za 190.000 dolara pod uvjetom da se tijekom dvogodišnjeg uvjetnog razdoblja ne dogodi nikakav novi prekršaj.</w:t>
      </w:r>
    </w:p>
    <w:p w14:paraId="14F2FA9E" w14:textId="48854D79" w:rsidR="00720911" w:rsidRDefault="00720911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3CF9FF23" w14:textId="77777777" w:rsidR="00720911" w:rsidRPr="00BD28D4" w:rsidRDefault="00720911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71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45D56F72" w14:textId="77777777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Elite International Transport, Inc. </w:t>
      </w:r>
    </w:p>
    <w:p w14:paraId="45D56F73" w14:textId="4521D344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lastRenderedPageBreak/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Između 2000. i 2004.,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otpremničko poduzeće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Elite International Transport, Inc. (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Elite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) iz Houstona u saveznoj državi Texas lažno je predstavilo tijelo za izdavanje dozvola na izvoznim deklaracijama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Elite je podnio izvozne deklaracije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ime izvoznika,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Equistar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Chemicals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LP (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„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Equistar</w:t>
      </w:r>
      <w:proofErr w:type="spellEnd"/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), iz Houstona, savezna država Texas, navodeći da su izvozi kemikalije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trietanolamin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Meksiko bili dozvoljeni bez dozvole, kada je, u stvari, dozvola za izvoz bila potrebna. </w:t>
      </w:r>
    </w:p>
    <w:p w14:paraId="45D56F74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5D56F75" w14:textId="37555C30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Elite je pristao platiti novčanu kaznu u iznosu od 156.000 dolara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.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srodnom predmetu,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Equistar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pristao platiti novčanu kaznu od 39.650 dolara.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Equistar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2004. dobrovoljno obavijestio Ured za industriju i sigurnost o prekršaju.</w:t>
      </w:r>
    </w:p>
    <w:p w14:paraId="45D56F76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77" w14:textId="77777777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UTI </w:t>
      </w:r>
    </w:p>
    <w:p w14:paraId="45D56F78" w14:textId="53F3C61A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Jednom</w:t>
      </w:r>
      <w:r w:rsidR="00727C58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prilikom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, 1. studenog 2000., u vezi</w:t>
      </w:r>
      <w:r w:rsidR="00CE0FCE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izvoza </w:t>
      </w:r>
      <w:r w:rsidR="00A44FC4">
        <w:rPr>
          <w:rFonts w:ascii="Times New Roman" w:eastAsia="Times New Roman" w:hAnsi="Times New Roman" w:cs="Times New Roman"/>
          <w:sz w:val="22"/>
          <w:szCs w:val="22"/>
          <w:lang w:bidi="hr-HR"/>
        </w:rPr>
        <w:t>koje podliježe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Propisima, UTI,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otpremničko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poduzeće, dalo je lažn</w:t>
      </w:r>
      <w:r w:rsidR="00A44FC4">
        <w:rPr>
          <w:rFonts w:ascii="Times New Roman" w:eastAsia="Times New Roman" w:hAnsi="Times New Roman" w:cs="Times New Roman"/>
          <w:sz w:val="22"/>
          <w:szCs w:val="22"/>
          <w:lang w:bidi="hr-HR"/>
        </w:rPr>
        <w:t>i iskaz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američkim državnim tijelima</w:t>
      </w:r>
      <w:r w:rsidR="00CE0FCE">
        <w:rPr>
          <w:rFonts w:ascii="Times New Roman" w:eastAsia="Times New Roman" w:hAnsi="Times New Roman" w:cs="Times New Roman"/>
          <w:sz w:val="22"/>
          <w:szCs w:val="22"/>
          <w:lang w:bidi="hr-HR"/>
        </w:rPr>
        <w:t>.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UTI je podnio ili je dao povod za podnošenje izvozne deklaracije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(SED) za izvoz računalnih dijelova i dodatne opreme, predmet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a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koji podliježu propisima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i na kojima nije bio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izvoznikovog identifikacijskog broja poslodavca (EIN). Na taj je način UTI počinio jedan prekršaj vezan uz izvoz. U 33 navrata, od 29. travnja 2001. do 11. lipnja 2004., u vezi s izvršenjem izvoza niza predmeta podložnih propisima, UTI je dao lažne izjave 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>američkim državnim tijelima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UTI je podnio ili dao povod za podnošenje Izvozne deklaracije izvoznika za izvoz predmeta koji su uključivali lažne informacije o izvoznikovom identifikacijskog broja poslodavca. Na taj je način</w:t>
      </w:r>
      <w:r w:rsidR="00013896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UTI počinio 33 prekršaja vezanih za izvoz. </w:t>
      </w:r>
    </w:p>
    <w:p w14:paraId="45D56F79" w14:textId="77777777" w:rsidR="00775FB4" w:rsidRPr="00BD28D4" w:rsidRDefault="00775FB4" w:rsidP="00775FB4">
      <w:pPr>
        <w:pStyle w:val="CommentText"/>
        <w:spacing w:after="0"/>
        <w:ind w:left="1080"/>
        <w:rPr>
          <w:rFonts w:ascii="Times New Roman" w:hAnsi="Times New Roman" w:cs="Times New Roman"/>
          <w:sz w:val="22"/>
          <w:szCs w:val="22"/>
          <w:u w:val="single"/>
        </w:rPr>
      </w:pPr>
    </w:p>
    <w:p w14:paraId="45D56F7A" w14:textId="77777777" w:rsidR="00775FB4" w:rsidRPr="00BD28D4" w:rsidRDefault="00775FB4" w:rsidP="00775FB4">
      <w:pPr>
        <w:pStyle w:val="CommentText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Predviđena je novčana kazna u iznosu od 76.500 dolara.</w:t>
      </w:r>
    </w:p>
    <w:p w14:paraId="45D56F7B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7C" w14:textId="77777777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Air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International (ACI) </w:t>
      </w:r>
    </w:p>
    <w:p w14:paraId="45D56F7D" w14:textId="426DDDAB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lipnju 2004., Air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International (ACI) bio je optužen za </w:t>
      </w:r>
      <w:r w:rsidR="00843DC1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sudjelovanje u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pokušaj</w:t>
      </w:r>
      <w:r w:rsidR="00843DC1">
        <w:rPr>
          <w:rFonts w:ascii="Times New Roman" w:eastAsia="Times New Roman" w:hAnsi="Times New Roman" w:cs="Times New Roman"/>
          <w:sz w:val="22"/>
          <w:szCs w:val="22"/>
          <w:lang w:bidi="hr-HR"/>
        </w:rPr>
        <w:t>u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neovlaštenog izvoza dv</w:t>
      </w:r>
      <w:r w:rsidR="003F4BB0">
        <w:rPr>
          <w:rFonts w:ascii="Times New Roman" w:eastAsia="Times New Roman" w:hAnsi="Times New Roman" w:cs="Times New Roman"/>
          <w:sz w:val="22"/>
          <w:szCs w:val="22"/>
          <w:lang w:bidi="hr-HR"/>
        </w:rPr>
        <w:t>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ju termalnih kamera iz SAD-a subjektu u Ujedinjenim Arapskim Emiratima ispunjavanjem izvozne deklaracije </w:t>
      </w:r>
      <w:r w:rsidR="003F4BB0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za kamere koja je sadržavala lažne izjave o prikazu činjeničnog stanja i potpisivanjem istoga imenom američkog izvoznika bez da je od izvoznika dobio potrebne informacije. Konkretno, ACI je predao obrazac za izvoznu deklaraciju </w:t>
      </w:r>
      <w:r w:rsidR="007E3EE4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gdje je naveo da za izvoz termalnih kamera nije potrebna izvozna dozvola. A to je lažno predstavljanje činjenica, zato što su termalne kamere </w:t>
      </w:r>
      <w:r w:rsidR="0034277B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označene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pod oznakom ECCN 6A003.b.4, koja zahtjeva dozvolu za izvoz u UAE. Konkretno, ACI je optužen za podnošenje ili da je dao povod za podnošenje obrasca za izvoznu deklaraciju </w:t>
      </w:r>
      <w:r w:rsidR="0035578C">
        <w:rPr>
          <w:rFonts w:ascii="Times New Roman" w:eastAsia="Times New Roman" w:hAnsi="Times New Roman" w:cs="Times New Roman"/>
          <w:sz w:val="22"/>
          <w:szCs w:val="22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="0035578C">
        <w:rPr>
          <w:rFonts w:ascii="Times New Roman" w:eastAsia="Times New Roman" w:hAnsi="Times New Roman" w:cs="Times New Roman"/>
          <w:sz w:val="22"/>
          <w:szCs w:val="22"/>
          <w:lang w:bidi="hr-HR"/>
        </w:rPr>
        <w:t>u kojoj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se navodi da za izvoz termalnih kamera nije potrebna izvozna dozvola. Taj prikaz bio je lažan, zato što termalne kamere zaht</w:t>
      </w:r>
      <w:r w:rsidR="003105AB">
        <w:rPr>
          <w:rFonts w:ascii="Times New Roman" w:eastAsia="Times New Roman" w:hAnsi="Times New Roman" w:cs="Times New Roman"/>
          <w:sz w:val="22"/>
          <w:szCs w:val="22"/>
          <w:lang w:bidi="hr-HR"/>
        </w:rPr>
        <w:t>ij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eva</w:t>
      </w:r>
      <w:r w:rsidR="00DB5BD5">
        <w:rPr>
          <w:rFonts w:ascii="Times New Roman" w:eastAsia="Times New Roman" w:hAnsi="Times New Roman" w:cs="Times New Roman"/>
          <w:sz w:val="22"/>
          <w:szCs w:val="22"/>
          <w:lang w:bidi="hr-HR"/>
        </w:rPr>
        <w:t>ju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dozvolu za izvoz u UAE. </w:t>
      </w:r>
    </w:p>
    <w:p w14:paraId="45D56F7E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5D56F7F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Predviđena je novčana kazna u iznosu od 11.000 dolara.</w:t>
      </w:r>
    </w:p>
    <w:p w14:paraId="45D56F80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45D56F81" w14:textId="4F43D3E9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R&amp;A International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Trading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Inc.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dba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R&amp;A International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(</w:t>
      </w:r>
      <w:r w:rsidR="00212913">
        <w:rPr>
          <w:rFonts w:ascii="Times New Roman" w:eastAsia="Times New Roman" w:hAnsi="Times New Roman" w:cs="Times New Roman"/>
          <w:b/>
          <w:lang w:bidi="hr-HR"/>
        </w:rPr>
        <w:t>„</w:t>
      </w:r>
      <w:r w:rsidRPr="00BD28D4">
        <w:rPr>
          <w:rFonts w:ascii="Times New Roman" w:eastAsia="Times New Roman" w:hAnsi="Times New Roman" w:cs="Times New Roman"/>
          <w:b/>
          <w:lang w:bidi="hr-HR"/>
        </w:rPr>
        <w:t>R&amp;A International</w:t>
      </w:r>
      <w:r w:rsidR="00212913">
        <w:rPr>
          <w:rFonts w:ascii="Times New Roman" w:eastAsia="Times New Roman" w:hAnsi="Times New Roman" w:cs="Times New Roman"/>
          <w:b/>
          <w:lang w:bidi="hr-HR"/>
        </w:rPr>
        <w:t>“</w:t>
      </w:r>
      <w:r w:rsidRPr="00BD28D4">
        <w:rPr>
          <w:rFonts w:ascii="Times New Roman" w:eastAsia="Times New Roman" w:hAnsi="Times New Roman" w:cs="Times New Roman"/>
          <w:b/>
          <w:lang w:bidi="hr-HR"/>
        </w:rPr>
        <w:t>)</w:t>
      </w:r>
    </w:p>
    <w:p w14:paraId="45D56F82" w14:textId="0C24C43A" w:rsidR="00775FB4" w:rsidRPr="00BD28D4" w:rsidRDefault="00775FB4" w:rsidP="00775FB4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Od listopada 2009. do najmanje svibnja 2012., R&amp;A International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Trading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Inc.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dba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R&amp;A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(„R&amp;A International“), </w:t>
      </w:r>
      <w:r w:rsidR="008A176A">
        <w:rPr>
          <w:rFonts w:ascii="Times New Roman" w:eastAsia="Times New Roman" w:hAnsi="Times New Roman" w:cs="Times New Roman"/>
          <w:lang w:bidi="hr-HR"/>
        </w:rPr>
        <w:t>otpremničko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društvo sa sjedištem u četvrti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Jamaica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u New Yorku i njegova predsjednica i vlasnica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Rukhsana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Kadri</w:t>
      </w:r>
      <w:r w:rsidR="008A176A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također poznata kao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Roxanne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Kadri („Kadri“) iz grada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Davie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na Floridi, terete se za udruživanje kako bi prikrili i pogrešno predstavili identitet izvoznika ili glavne osobe od interesa (</w:t>
      </w:r>
      <w:r w:rsidR="008A176A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USPPI</w:t>
      </w:r>
      <w:r w:rsidR="008A176A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>) na izvoznim deklaracijama ili automatiziranim zapisima izvoznog sustava (</w:t>
      </w:r>
      <w:r w:rsidR="008A176A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zapisi SED/AES</w:t>
      </w:r>
      <w:r w:rsidR="008A176A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) podnesenim </w:t>
      </w:r>
      <w:r w:rsidR="008A176A">
        <w:rPr>
          <w:rFonts w:ascii="Times New Roman" w:eastAsia="Times New Roman" w:hAnsi="Times New Roman" w:cs="Times New Roman"/>
          <w:lang w:bidi="hr-HR"/>
        </w:rPr>
        <w:t>državnim tijelima SAD-a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i počinili niz povezanih prekršaja, uključujući i iznuđivanje lažnog </w:t>
      </w:r>
      <w:r w:rsidRPr="00BD28D4">
        <w:rPr>
          <w:rFonts w:ascii="Times New Roman" w:eastAsia="Times New Roman" w:hAnsi="Times New Roman" w:cs="Times New Roman"/>
          <w:lang w:bidi="hr-HR"/>
        </w:rPr>
        <w:lastRenderedPageBreak/>
        <w:t>iskaza tijekom trajanja istrage. R&amp;A International i Kadri udružili su se s jednim od svojih kupaca, stvarnim izvoznikom/stvarnom osobom od interesa (</w:t>
      </w:r>
      <w:r w:rsidR="008A176A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kupac br. 1</w:t>
      </w:r>
      <w:r w:rsidR="008A176A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>), kako bi lažno predstavili svog drugog kupca (</w:t>
      </w:r>
      <w:r w:rsidR="008A176A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kupac br. 2</w:t>
      </w:r>
      <w:r w:rsidR="008A176A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) kao osobu od interesa u dostavljenoj SED/AES dokumentaciji, u vezi s najmanje 278 izvoza računalne opreme, uključujući predmete ukupne vrijednosti od približno 22 milijuna dolara, prvenstveno namijenjene trgovačkim društvima u Ujedinjenim Arapskim Emiratima. </w:t>
      </w:r>
      <w:r w:rsidR="008A176A">
        <w:rPr>
          <w:rFonts w:ascii="Times New Roman" w:eastAsia="Times New Roman" w:hAnsi="Times New Roman" w:cs="Times New Roman"/>
          <w:lang w:bidi="hr-HR"/>
        </w:rPr>
        <w:t>Ovime se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omogućil</w:t>
      </w:r>
      <w:r w:rsidR="008A176A">
        <w:rPr>
          <w:rFonts w:ascii="Times New Roman" w:eastAsia="Times New Roman" w:hAnsi="Times New Roman" w:cs="Times New Roman"/>
          <w:lang w:bidi="hr-HR"/>
        </w:rPr>
        <w:t>o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kupcu br. 1 da opetovano anonimno i protivno uvjetima ugovora o distribuciji izvozi predmete i da na taj način omogući da R&amp;A International i Kadri dobiju značajan udio </w:t>
      </w:r>
      <w:r w:rsidR="008A176A">
        <w:rPr>
          <w:rFonts w:ascii="Times New Roman" w:eastAsia="Times New Roman" w:hAnsi="Times New Roman" w:cs="Times New Roman"/>
          <w:lang w:bidi="hr-HR"/>
        </w:rPr>
        <w:t>otpremničkog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poslovanja poduzeća br. 1. Kada su specijalni agenti iz </w:t>
      </w:r>
      <w:r w:rsidR="003A24DC">
        <w:rPr>
          <w:rFonts w:ascii="Times New Roman" w:eastAsia="Times New Roman" w:hAnsi="Times New Roman" w:cs="Times New Roman"/>
          <w:lang w:bidi="hr-HR"/>
        </w:rPr>
        <w:t>U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reda za provedbu izvoza (OEE) počeli s istragom transakcije, R&amp;A International i Kadri nisu samo dali niz lažnih iskaza specijalnim agentima u pokušaju da zataškaju zavjeru, već su i pokušali pridobiti Kupca br. 2 kako bi ga uvukli u zavjeru i naveli ga da i on da lažne iskaze specijalnim agentima kako bi prikrili malverzaciju. Kupac br. 2, čije je ime bilo lažno navedeno u dostavljenoj dokumentaciji bez njegova znanja ili pristanka, odbio je i na to nije pristao. </w:t>
      </w:r>
    </w:p>
    <w:p w14:paraId="45D56F83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84" w14:textId="508D3296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prosincu 2013., R&amp;A International i Kadri sklopili su sporazume o nagodbi s američkim Državnim odvjetništvom za Istočni okrug New Yorka</w:t>
      </w:r>
      <w:r w:rsidR="003A24DC">
        <w:rPr>
          <w:rFonts w:ascii="Times New Roman" w:eastAsia="Times New Roman" w:hAnsi="Times New Roman" w:cs="Times New Roman"/>
          <w:lang w:bidi="hr-HR"/>
        </w:rPr>
        <w:t xml:space="preserve"> i priznali </w:t>
      </w:r>
      <w:r w:rsidRPr="00BD28D4">
        <w:rPr>
          <w:rFonts w:ascii="Times New Roman" w:eastAsia="Times New Roman" w:hAnsi="Times New Roman" w:cs="Times New Roman"/>
          <w:lang w:bidi="hr-HR"/>
        </w:rPr>
        <w:t>da su svjesno dali lažne izjave te na taj način prekršili 13</w:t>
      </w:r>
      <w:r w:rsidR="003A24DC">
        <w:rPr>
          <w:rFonts w:ascii="Times New Roman" w:eastAsia="Times New Roman" w:hAnsi="Times New Roman" w:cs="Times New Roman"/>
          <w:lang w:bidi="hr-HR"/>
        </w:rPr>
        <w:t xml:space="preserve">. Zakon, </w:t>
      </w:r>
      <w:r w:rsidRPr="00BD28D4">
        <w:rPr>
          <w:rFonts w:ascii="Times New Roman" w:eastAsia="Times New Roman" w:hAnsi="Times New Roman" w:cs="Times New Roman"/>
          <w:lang w:bidi="hr-HR"/>
        </w:rPr>
        <w:t>odjeljak 305</w:t>
      </w:r>
      <w:r w:rsidR="003A24DC">
        <w:rPr>
          <w:rFonts w:ascii="Times New Roman" w:eastAsia="Times New Roman" w:hAnsi="Times New Roman" w:cs="Times New Roman"/>
          <w:lang w:bidi="hr-HR"/>
        </w:rPr>
        <w:t>.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, u vezi s 10 lažnih SED/AES prijava koje je utvrdio područni ured New York i pristali su odreći se 125.263 dolara. Uz oduzimanje imovine, R&amp;A International osuđen je u kolovozu 2014. na dvije godine uvjetne kazne, novčanu kaznu u iznosu od 100.000 dolara, i iznos od 4.000 za posebna davanja, a Kadri je osuđena na tri godine uvjetne kazne, novčanu kaznu od 30.000 dolara, i iznos od 100 dolara </w:t>
      </w:r>
      <w:r w:rsidRPr="003A24DC">
        <w:rPr>
          <w:rFonts w:ascii="Times New Roman" w:eastAsia="Times New Roman" w:hAnsi="Times New Roman" w:cs="Times New Roman"/>
          <w:lang w:bidi="hr-HR"/>
        </w:rPr>
        <w:t>za posebna davanja.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Dana 15. srpnja 2016., tijekom prvog dana suđenja pred upravnim sucem, R&amp;A International 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Rukhsana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Kadri zajednički su se složili da će platiti </w:t>
      </w:r>
      <w:r w:rsidR="00290909">
        <w:rPr>
          <w:rFonts w:ascii="Times New Roman" w:eastAsia="Times New Roman" w:hAnsi="Times New Roman" w:cs="Times New Roman"/>
          <w:lang w:bidi="hr-HR"/>
        </w:rPr>
        <w:t xml:space="preserve">novčanu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kaznu od 500.000 dolara, od čega se 350.000 dolara odbija tijekom petogodišnjeg razdoblja kušnje te su pristali na petogodišnju </w:t>
      </w:r>
      <w:r w:rsidRPr="002923E8">
        <w:rPr>
          <w:rFonts w:ascii="Times New Roman" w:eastAsia="Times New Roman" w:hAnsi="Times New Roman" w:cs="Times New Roman"/>
          <w:lang w:bidi="hr-HR"/>
        </w:rPr>
        <w:t>zabranu izvoza</w:t>
      </w:r>
      <w:r w:rsidR="002923E8">
        <w:rPr>
          <w:rFonts w:ascii="Times New Roman" w:eastAsia="Times New Roman" w:hAnsi="Times New Roman" w:cs="Times New Roman"/>
          <w:lang w:bidi="hr-HR"/>
        </w:rPr>
        <w:t>.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Pristankom na sporazum o nagodbi i kao dio sporazuma o nagodbi, R&amp;A International i Kadri priznali su svaku optužbu i svako kršenje za koje ih Ured za industriju i sigurnost tereti.</w:t>
      </w:r>
    </w:p>
    <w:p w14:paraId="45D56F85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45D56F86" w14:textId="53DA8F1D" w:rsidR="00775FB4" w:rsidRPr="00BD28D4" w:rsidRDefault="00775FB4" w:rsidP="00775FB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Instruments, Inc./</w:t>
      </w:r>
      <w:r w:rsidR="002923E8">
        <w:rPr>
          <w:rFonts w:ascii="Times New Roman" w:eastAsia="Times New Roman" w:hAnsi="Times New Roman" w:cs="Times New Roman"/>
          <w:b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, Inc. </w:t>
      </w:r>
    </w:p>
    <w:p w14:paraId="45D56F87" w14:textId="205A9CF3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iz San Diega, u Kaliforniji, 2004. godine izvezao je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radiometarski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sustav za profiliranje </w:t>
      </w:r>
      <w:r w:rsidR="0006618B">
        <w:rPr>
          <w:rFonts w:ascii="Times New Roman" w:eastAsia="Times New Roman" w:hAnsi="Times New Roman" w:cs="Times New Roman"/>
          <w:sz w:val="22"/>
          <w:szCs w:val="22"/>
          <w:lang w:bidi="hr-HR"/>
        </w:rPr>
        <w:t>i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nstitutu za istraživanje svemira „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Space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Application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Center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“ u Indiji, koji se nalazi na popisu subjekata Ureda za industriju i sigurnost, bez potrebne dozvole, i lažno prikazujući činjenice prilikom podnošenja dokumenta za kontrolu izvoza vladi Sjedinjenih Američkih Država.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Inc., iz grada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Torrance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Kaliforniji, pomogao je u izvozu bez dozvole/poticao je izvoz bez dozvole. </w:t>
      </w:r>
    </w:p>
    <w:p w14:paraId="45D56F88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5D56F89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Dana 20. travnja 2007.,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pristao je platiti novčanu kaznu u iznosu od 13.200 dolara. Istoga dana,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 je pristao platiti novčanu kaznu od 6.000 dolara.  </w:t>
      </w:r>
    </w:p>
    <w:p w14:paraId="45D56F8A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5D56F8B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Olakotne okolnosti: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je svojevoljno otkrio kršenje zakona i u potpunosti je surađivao u istrazi.</w:t>
      </w:r>
    </w:p>
    <w:p w14:paraId="45D56F8C" w14:textId="77777777" w:rsidR="00775FB4" w:rsidRPr="00BD28D4" w:rsidRDefault="00775FB4" w:rsidP="00775FB4">
      <w:pPr>
        <w:rPr>
          <w:rFonts w:ascii="Times New Roman" w:hAnsi="Times New Roman" w:cs="Times New Roman"/>
          <w:i/>
        </w:rPr>
      </w:pPr>
      <w:r w:rsidRPr="00BD28D4">
        <w:rPr>
          <w:rFonts w:ascii="Times New Roman" w:eastAsia="Times New Roman" w:hAnsi="Times New Roman" w:cs="Times New Roman"/>
          <w:i/>
          <w:lang w:bidi="hr-HR"/>
        </w:rPr>
        <w:br w:type="page"/>
      </w:r>
    </w:p>
    <w:p w14:paraId="45D56F8D" w14:textId="31C22170" w:rsidR="00775FB4" w:rsidRPr="00BD28D4" w:rsidRDefault="0006618B" w:rsidP="00775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bidi="hr-HR"/>
        </w:rPr>
        <w:lastRenderedPageBreak/>
        <w:t>Slanje</w:t>
      </w:r>
      <w:r w:rsidR="00775FB4" w:rsidRPr="00BD28D4">
        <w:rPr>
          <w:rFonts w:ascii="Times New Roman" w:eastAsia="Times New Roman" w:hAnsi="Times New Roman" w:cs="Times New Roman"/>
          <w:i/>
          <w:lang w:bidi="hr-HR"/>
        </w:rPr>
        <w:t xml:space="preserve"> bez dozvole </w:t>
      </w:r>
    </w:p>
    <w:p w14:paraId="45D56F8E" w14:textId="77777777" w:rsidR="00775FB4" w:rsidRPr="00BD28D4" w:rsidRDefault="00775FB4" w:rsidP="00775F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80"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General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International </w:t>
      </w:r>
    </w:p>
    <w:p w14:paraId="45D56F8F" w14:textId="2375E4D3" w:rsidR="00775FB4" w:rsidRPr="00BD28D4" w:rsidRDefault="00775FB4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četiri navrata tijekom studenog 2009., General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International iz New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Brunswicka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u saveznoj državi New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Jersey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omogućio je neovlašten izvoz EAR99 čeličnog otpada, vrijednog 672.022 dolara, iz SAD-a u čeličanu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People</w:t>
      </w:r>
      <w:r w:rsidR="00E62200">
        <w:rPr>
          <w:rFonts w:ascii="Times New Roman" w:eastAsia="Times New Roman" w:hAnsi="Times New Roman" w:cs="Times New Roman"/>
          <w:lang w:bidi="hr-HR"/>
        </w:rPr>
        <w:t>'</w:t>
      </w:r>
      <w:r w:rsidRPr="00BD28D4">
        <w:rPr>
          <w:rFonts w:ascii="Times New Roman" w:eastAsia="Times New Roman" w:hAnsi="Times New Roman" w:cs="Times New Roman"/>
          <w:lang w:bidi="hr-HR"/>
        </w:rPr>
        <w:t>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Steel Mills koja se nalazi u Pakistanu.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People</w:t>
      </w:r>
      <w:r w:rsidR="00CA49C2">
        <w:rPr>
          <w:rFonts w:ascii="Times New Roman" w:eastAsia="Times New Roman" w:hAnsi="Times New Roman" w:cs="Times New Roman"/>
          <w:lang w:bidi="hr-HR"/>
        </w:rPr>
        <w:t>'</w:t>
      </w:r>
      <w:r w:rsidRPr="00BD28D4">
        <w:rPr>
          <w:rFonts w:ascii="Times New Roman" w:eastAsia="Times New Roman" w:hAnsi="Times New Roman" w:cs="Times New Roman"/>
          <w:lang w:bidi="hr-HR"/>
        </w:rPr>
        <w:t>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Steel Mills se nalazi na Popisu subjekta Ureda za industriju i sigurnost. Za svaki izvoz, General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International dogovorio je transport </w:t>
      </w:r>
      <w:r w:rsidR="005279E9">
        <w:rPr>
          <w:rFonts w:ascii="Times New Roman" w:eastAsia="Times New Roman" w:hAnsi="Times New Roman" w:cs="Times New Roman"/>
          <w:lang w:bidi="hr-HR"/>
        </w:rPr>
        <w:t>č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eličnog otpada s mjesta američkog izvoznika do luke izvoza, zatim je dogovorio da se čelični otpad otpremi u čeličanu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People</w:t>
      </w:r>
      <w:r w:rsidR="004666C3">
        <w:rPr>
          <w:rFonts w:ascii="Times New Roman" w:eastAsia="Times New Roman" w:hAnsi="Times New Roman" w:cs="Times New Roman"/>
          <w:lang w:bidi="hr-HR"/>
        </w:rPr>
        <w:t>'</w:t>
      </w:r>
      <w:r w:rsidRPr="00BD28D4">
        <w:rPr>
          <w:rFonts w:ascii="Times New Roman" w:eastAsia="Times New Roman" w:hAnsi="Times New Roman" w:cs="Times New Roman"/>
          <w:lang w:bidi="hr-HR"/>
        </w:rPr>
        <w:t>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Steel Mills u Pakistanu</w:t>
      </w:r>
      <w:r w:rsidR="005279E9">
        <w:rPr>
          <w:rFonts w:ascii="Times New Roman" w:eastAsia="Times New Roman" w:hAnsi="Times New Roman" w:cs="Times New Roman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te na kraju pripremio i dostavio potrebnu dokumentaciju za otpremu, od koje je dio navodio da nije potrebna izvozna dozvola za ovu vrstu izvoza. </w:t>
      </w:r>
    </w:p>
    <w:p w14:paraId="45D56F90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45D56F91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Dana 22. siječnja 2015., General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International postigao je nagodbu s Uredom za industriju i sigurnost te je pristao platiti novčanu kaznu u iznosu od 90.000 dolara.</w:t>
      </w:r>
    </w:p>
    <w:p w14:paraId="45D56F92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45D56F93" w14:textId="77777777" w:rsidR="00775FB4" w:rsidRPr="00BD28D4" w:rsidRDefault="00775FB4" w:rsidP="00775F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Naji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Antoine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Abi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Tomer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Grinberg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</w:p>
    <w:p w14:paraId="45D56F94" w14:textId="599F4788" w:rsidR="00775FB4" w:rsidRPr="00BD28D4" w:rsidRDefault="00775FB4" w:rsidP="00775FB4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lang w:bidi="hr-HR"/>
        </w:rPr>
        <w:t>NAJI ANTOINE ABI KHALIL ("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"), koji ima dvojno državljanstvo (libanonsko i kanadsko) i obnaša funkciju predsjednika i glavnog direktora trgovačkog društva za uvoz i izvoz „New Line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Services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>“ sa sjedištem u Montrealu i TOMER GRINBERG (</w:t>
      </w:r>
      <w:r w:rsidR="00FA20CE">
        <w:rPr>
          <w:rFonts w:ascii="Times New Roman" w:eastAsia="Times New Roman" w:hAnsi="Times New Roman" w:cs="Times New Roman"/>
          <w:lang w:bidi="hr-HR"/>
        </w:rPr>
        <w:t>„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="00FA20CE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), državljanin Izraela zaposlen u trgovačkom društvu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Tober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Group, poduzeće za otpremu i logistiku sa sjedištem 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Brooklynu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New York, pokušali su otpremiti u Grčku, bez izvozne dozvole koju zahtijevaju država i Ured za industriju i sigurnost,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Generation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3 opremu za noćno gledanje, uključujući naočale za noćni vid i uređaje za ciljanje. Uređaji za ciljanje s infracrvenom tehnologijom osmišljeni su da bi se montirali na M-16 i druge vojne puške kako bi se lakše naciljala meta prilikom korištenja naočala za noćno gledanje.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Generation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3 predstavlja najvišu razinu tehnologije korištene za noćno gledanje te se kao takva ne može izvoziti bez dozvole.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također pokušao opskrbiti robom libanonski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Hezbollah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koji se smatra terorističkom organizacijom.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se izjasnio krivim 9. kolovoza 2005., za pokušaj pružanja materijalne potpore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Hezbollahu</w:t>
      </w:r>
      <w:proofErr w:type="spellEnd"/>
      <w:r w:rsidR="00E0570A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za pokušaj opskrbe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Hezbollaha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robom vojne namjene kao što su oprema za noćno gledanje i uređaji za ciljanje s infracrvenom tehnologijo</w:t>
      </w:r>
      <w:r w:rsidR="00F079B2">
        <w:rPr>
          <w:rFonts w:ascii="Times New Roman" w:eastAsia="Times New Roman" w:hAnsi="Times New Roman" w:cs="Times New Roman"/>
          <w:lang w:bidi="hr-HR"/>
        </w:rPr>
        <w:t xml:space="preserve">m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i za </w:t>
      </w:r>
      <w:r w:rsidR="00F079B2">
        <w:rPr>
          <w:rFonts w:ascii="Times New Roman" w:eastAsia="Times New Roman" w:hAnsi="Times New Roman" w:cs="Times New Roman"/>
          <w:lang w:bidi="hr-HR"/>
        </w:rPr>
        <w:t>sudjelovanje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pokušaju izvoza osjetljive vojne opreme iz Sjedinjenih Američkih </w:t>
      </w:r>
      <w:r w:rsidR="00F079B2">
        <w:rPr>
          <w:rFonts w:ascii="Times New Roman" w:eastAsia="Times New Roman" w:hAnsi="Times New Roman" w:cs="Times New Roman"/>
          <w:lang w:bidi="hr-HR"/>
        </w:rPr>
        <w:t>D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ržava bez potrebnih dozvola. </w:t>
      </w:r>
    </w:p>
    <w:p w14:paraId="45D56F95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96" w14:textId="52599008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priznao krivnju za dvije optužbe za urotu povezane s pranjem novca i izvozom robe u Grčku bez potrebne dozvole. Također je priznao krivnju za kršenje jednog IEEPA zakona u vezi s pokušajem izvršenja, izvršenjem ili primanjem financijskih doprinosa za i u korist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Hezbollaha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terorističke organizacije.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Khalilov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r w:rsidR="00E35177">
        <w:rPr>
          <w:rFonts w:ascii="Times New Roman" w:eastAsia="Times New Roman" w:hAnsi="Times New Roman" w:cs="Times New Roman"/>
          <w:lang w:bidi="hr-HR"/>
        </w:rPr>
        <w:t>otpremnik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Tomer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="00E35177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je također uhićen i optužen za svoju ulogu i priznao je krivnju za planiranje namjernog kršenja načela IEEPA-a</w:t>
      </w:r>
      <w:r w:rsidR="00E35177">
        <w:rPr>
          <w:rFonts w:ascii="Times New Roman" w:eastAsia="Times New Roman" w:hAnsi="Times New Roman" w:cs="Times New Roman"/>
          <w:lang w:bidi="hr-HR"/>
        </w:rPr>
        <w:t xml:space="preserve">.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Dana 13. veljače 2006.,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osuđen na dvije kazne zatvora svaka u trajanju od 5 godina te na kaznu zatvora u trajanju od pedeset i sedam mjeseci koje će služiti istovremeno te je dobio novčanu kaznu u iznosu od 100.000 dolara.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12. travnja 2006. osuđen na šest mjeseci zatvora. Dana, 14. studenog 2006., Ured za industriju i sigurnost (BIS) oduzeo je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Khalilu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Grindbergu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pravo izvoza na deset godina, u skladu s odjeljkom 11</w:t>
      </w:r>
      <w:r w:rsidR="00E35177">
        <w:rPr>
          <w:rFonts w:ascii="Times New Roman" w:eastAsia="Times New Roman" w:hAnsi="Times New Roman" w:cs="Times New Roman"/>
          <w:lang w:bidi="hr-HR"/>
        </w:rPr>
        <w:t>.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(h) EAA propisa. Na dan 4. siječnja 2007.,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deportiran iz Sjedinjenih Američkih Država.</w:t>
      </w:r>
    </w:p>
    <w:p w14:paraId="45D56F97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45D56F98" w14:textId="77777777" w:rsidR="00775FB4" w:rsidRPr="00BD28D4" w:rsidRDefault="00775FB4" w:rsidP="00775F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DPWN Holdings (SAD), Inc. i DHL Express (SAD) </w:t>
      </w:r>
    </w:p>
    <w:p w14:paraId="45D56F99" w14:textId="473D4C2C" w:rsidR="00775FB4" w:rsidRPr="00BD28D4" w:rsidRDefault="00775FB4" w:rsidP="00775FB4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DPWN Holdings (SAD), Inc. (prethodno poznat kao DHL Holdings (SAD), Inc.) i DHL Express (SAD), Inc. (</w:t>
      </w:r>
      <w:r w:rsidR="009C5963">
        <w:rPr>
          <w:rFonts w:ascii="Times New Roman" w:eastAsia="Times New Roman" w:hAnsi="Times New Roman" w:cs="Times New Roman"/>
          <w:lang w:bidi="hr-HR"/>
        </w:rPr>
        <w:t>skupno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r w:rsidR="009C5963">
        <w:rPr>
          <w:rFonts w:ascii="Times New Roman" w:eastAsia="Times New Roman" w:hAnsi="Times New Roman" w:cs="Times New Roman"/>
          <w:lang w:bidi="hr-HR"/>
        </w:rPr>
        <w:t>„</w:t>
      </w:r>
      <w:r w:rsidRPr="00BD28D4">
        <w:rPr>
          <w:rFonts w:ascii="Times New Roman" w:eastAsia="Times New Roman" w:hAnsi="Times New Roman" w:cs="Times New Roman"/>
          <w:lang w:bidi="hr-HR"/>
        </w:rPr>
        <w:t>DHL</w:t>
      </w:r>
      <w:r w:rsidR="009C5963">
        <w:rPr>
          <w:rFonts w:ascii="Times New Roman" w:eastAsia="Times New Roman" w:hAnsi="Times New Roman" w:cs="Times New Roman"/>
          <w:lang w:bidi="hr-HR"/>
        </w:rPr>
        <w:t>“</w:t>
      </w:r>
      <w:r w:rsidRPr="00BD28D4">
        <w:rPr>
          <w:rFonts w:ascii="Times New Roman" w:eastAsia="Times New Roman" w:hAnsi="Times New Roman" w:cs="Times New Roman"/>
          <w:lang w:bidi="hr-HR"/>
        </w:rPr>
        <w:t>) bespravno su sudjelovali u nedozvoljenom izvozu u Siriju, Iran i Sudan te se prilikom brojnih izvoza u te zemlje</w:t>
      </w:r>
      <w:r w:rsidR="009C5963">
        <w:rPr>
          <w:rFonts w:ascii="Times New Roman" w:eastAsia="Times New Roman" w:hAnsi="Times New Roman" w:cs="Times New Roman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nisu pridržavali izvoznih propisa Ureda za kontrolu strane trgovine (OFAC) niti su udovoljili zahtjevima za vođenje evidencije. </w:t>
      </w:r>
      <w:r w:rsidRPr="00BD28D4">
        <w:rPr>
          <w:rFonts w:ascii="Times New Roman" w:eastAsia="Times New Roman" w:hAnsi="Times New Roman" w:cs="Times New Roman"/>
          <w:lang w:bidi="hr-HR"/>
        </w:rPr>
        <w:lastRenderedPageBreak/>
        <w:t xml:space="preserve">Ured za industriju i sigurnost tereti DHL da je u osam navrata između lipnja 2004. i rujna 2004. sudjelovao u radnjama koje su zabranjene sukladno </w:t>
      </w:r>
      <w:r w:rsidR="00112793">
        <w:rPr>
          <w:rFonts w:ascii="Times New Roman" w:eastAsia="Times New Roman" w:hAnsi="Times New Roman" w:cs="Times New Roman"/>
          <w:lang w:bidi="hr-HR"/>
        </w:rPr>
        <w:t>P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ropisima o izvozu (EAR) prilikom izvoza predmeta koji podliježu </w:t>
      </w:r>
      <w:r w:rsidR="00112793">
        <w:rPr>
          <w:rFonts w:ascii="Times New Roman" w:eastAsia="Times New Roman" w:hAnsi="Times New Roman" w:cs="Times New Roman"/>
          <w:lang w:bidi="hr-HR"/>
        </w:rPr>
        <w:t>P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ropisima o izvozu (EAR) </w:t>
      </w:r>
      <w:r w:rsidR="00112793">
        <w:rPr>
          <w:rFonts w:ascii="Times New Roman" w:eastAsia="Times New Roman" w:hAnsi="Times New Roman" w:cs="Times New Roman"/>
          <w:lang w:bidi="hr-HR"/>
        </w:rPr>
        <w:t xml:space="preserve">iz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Sjedinjenih Američkih Država u Siriju te da nije bio u stanju sačuvati zračne </w:t>
      </w:r>
      <w:r w:rsidR="00112793">
        <w:rPr>
          <w:rFonts w:ascii="Times New Roman" w:eastAsia="Times New Roman" w:hAnsi="Times New Roman" w:cs="Times New Roman"/>
          <w:lang w:bidi="hr-HR"/>
        </w:rPr>
        <w:t>teretne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listove i drugu traženu dokumentaciju prilikom 90 različitih procesa izvoza između svibnja 2004. i studenog 2004. godine</w:t>
      </w:r>
      <w:r w:rsidR="00112793">
        <w:rPr>
          <w:rFonts w:ascii="Times New Roman" w:eastAsia="Times New Roman" w:hAnsi="Times New Roman" w:cs="Times New Roman"/>
          <w:lang w:bidi="hr-HR"/>
        </w:rPr>
        <w:t>.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Ured za kontrolu strane trgovine (OFAC) optužio je DHL za kršenje više različitih propisa Ureda za kontrolu strane trgovine u razdoblju od 2002. do 2006. godine koji se odnose na tisuće pošiljaka u Iran i Sudan. DHL-ovi prekršaji prvenstveno uključuju nepoštivanje zahtjeva za vođenje evidencije Ureda za </w:t>
      </w:r>
      <w:r w:rsidR="006E4CE0">
        <w:rPr>
          <w:rFonts w:ascii="Times New Roman" w:eastAsia="Times New Roman" w:hAnsi="Times New Roman" w:cs="Times New Roman"/>
          <w:lang w:bidi="hr-HR"/>
        </w:rPr>
        <w:t>kontrolu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r w:rsidR="007B302B">
        <w:rPr>
          <w:rFonts w:ascii="Times New Roman" w:eastAsia="Times New Roman" w:hAnsi="Times New Roman" w:cs="Times New Roman"/>
          <w:lang w:bidi="hr-HR"/>
        </w:rPr>
        <w:t xml:space="preserve">strane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trgovine (OFAC) </w:t>
      </w:r>
    </w:p>
    <w:p w14:paraId="45D56F9A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</w:p>
    <w:p w14:paraId="45D56F9B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highlight w:val="yellow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kolovozu 2009., DHL je pristao platiti novčanu kaznu u iznosu od 9.444.744 dolara i provesti vanjske revizije koje pokrivaju izvoz u Iran, Siriju i Sudan od ožujka 2007. do prosinca 2011.</w:t>
      </w:r>
    </w:p>
    <w:p w14:paraId="45D56F9C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D56F9D" w14:textId="77777777" w:rsidR="00775FB4" w:rsidRPr="00BD28D4" w:rsidRDefault="00775FB4" w:rsidP="00775FB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Instruments, Inc./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>, Inc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. </w:t>
      </w:r>
    </w:p>
    <w:p w14:paraId="75492761" w14:textId="77777777" w:rsidR="007B302B" w:rsidRPr="00BD28D4" w:rsidRDefault="007B302B" w:rsidP="007B302B">
      <w:pPr>
        <w:pStyle w:val="CommentText"/>
        <w:spacing w:before="12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iz San Diega, u Kaliforniji, 2004. godine izvezao je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radiometarski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sustav za profiliranje </w:t>
      </w:r>
      <w:r>
        <w:rPr>
          <w:rFonts w:ascii="Times New Roman" w:eastAsia="Times New Roman" w:hAnsi="Times New Roman" w:cs="Times New Roman"/>
          <w:sz w:val="22"/>
          <w:szCs w:val="22"/>
          <w:lang w:bidi="hr-HR"/>
        </w:rPr>
        <w:t>i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nstitutu za istraživanje svemira „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Space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Application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Center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“ u Indiji, koji se nalazi na popisu subjekata Ureda za industriju i sigurnost, bez potrebne dozvole, i lažno prikazujući činjenice prilikom podnošenja dokumenta za kontrolu izvoza vladi Sjedinjenih Američkih Država.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Inc., iz grada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Torrance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Kaliforniji, pomogao je u izvozu bez dozvole/poticao je izvoz bez dozvole. </w:t>
      </w:r>
    </w:p>
    <w:p w14:paraId="12789858" w14:textId="77777777" w:rsidR="007B302B" w:rsidRPr="00BD28D4" w:rsidRDefault="007B302B" w:rsidP="007B302B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7793538" w14:textId="77777777" w:rsidR="007B302B" w:rsidRPr="00BD28D4" w:rsidRDefault="007B302B" w:rsidP="007B302B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Dana 20. travnja 2007.,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pristao je platiti novčanu kaznu u iznosu od 13.200 dolara. Istoga dana,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 je pristao platiti novčanu kaznu od 6.000 dolara.  </w:t>
      </w:r>
    </w:p>
    <w:p w14:paraId="3FFB8999" w14:textId="77777777" w:rsidR="007B302B" w:rsidRPr="00BD28D4" w:rsidRDefault="007B302B" w:rsidP="007B302B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FDA8DC5" w14:textId="77777777" w:rsidR="007B302B" w:rsidRPr="00BD28D4" w:rsidRDefault="007B302B" w:rsidP="007B302B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Olakotne okolnosti: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je svojevoljno otkrio kršenje zakona i u potpunosti je surađivao u istrazi.</w:t>
      </w:r>
    </w:p>
    <w:p w14:paraId="45D56FA3" w14:textId="77777777" w:rsidR="00775FB4" w:rsidRPr="00BD28D4" w:rsidRDefault="00775FB4" w:rsidP="00775FB4">
      <w:pPr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lang w:bidi="hr-HR"/>
        </w:rPr>
        <w:br w:type="page"/>
      </w:r>
    </w:p>
    <w:p w14:paraId="45D56FA4" w14:textId="77777777" w:rsidR="00775FB4" w:rsidRPr="00BD28D4" w:rsidRDefault="00775FB4" w:rsidP="00775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28D4">
        <w:rPr>
          <w:rFonts w:ascii="Times New Roman" w:eastAsia="Times New Roman" w:hAnsi="Times New Roman" w:cs="Times New Roman"/>
          <w:i/>
          <w:lang w:bidi="hr-HR"/>
        </w:rPr>
        <w:lastRenderedPageBreak/>
        <w:t xml:space="preserve">Izvoz u ime stranke s ograničenjem ili izvoz stranci s ograničenjem </w:t>
      </w:r>
    </w:p>
    <w:p w14:paraId="45D56FA5" w14:textId="77777777" w:rsidR="00775FB4" w:rsidRPr="00BD28D4" w:rsidRDefault="00775FB4" w:rsidP="00775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80"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DHL Holdings USA, Inc. </w:t>
      </w:r>
    </w:p>
    <w:p w14:paraId="45D56FA6" w14:textId="03C042A9" w:rsidR="00775FB4" w:rsidRPr="00BD28D4" w:rsidRDefault="00775FB4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r w:rsidR="007B302B">
        <w:rPr>
          <w:rFonts w:ascii="Times New Roman" w:eastAsia="Times New Roman" w:hAnsi="Times New Roman" w:cs="Times New Roman"/>
          <w:lang w:bidi="hr-HR"/>
        </w:rPr>
        <w:t xml:space="preserve">Poduzeće </w:t>
      </w:r>
      <w:r w:rsidRPr="00BD28D4">
        <w:rPr>
          <w:rFonts w:ascii="Times New Roman" w:eastAsia="Times New Roman" w:hAnsi="Times New Roman" w:cs="Times New Roman"/>
          <w:lang w:bidi="hr-HR"/>
        </w:rPr>
        <w:t>DHL Holdings SAD, Inc. (DHL) prekrši</w:t>
      </w:r>
      <w:r w:rsidR="007B302B">
        <w:rPr>
          <w:rFonts w:ascii="Times New Roman" w:eastAsia="Times New Roman" w:hAnsi="Times New Roman" w:cs="Times New Roman"/>
          <w:lang w:bidi="hr-HR"/>
        </w:rPr>
        <w:t>l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o je </w:t>
      </w:r>
      <w:r w:rsidR="007B302B">
        <w:rPr>
          <w:rFonts w:ascii="Times New Roman" w:eastAsia="Times New Roman" w:hAnsi="Times New Roman" w:cs="Times New Roman"/>
          <w:lang w:bidi="hr-HR"/>
        </w:rPr>
        <w:t>P</w:t>
      </w:r>
      <w:r w:rsidRPr="00BD28D4">
        <w:rPr>
          <w:rFonts w:ascii="Times New Roman" w:eastAsia="Times New Roman" w:hAnsi="Times New Roman" w:cs="Times New Roman"/>
          <w:lang w:bidi="hr-HR"/>
        </w:rPr>
        <w:t>ropise o izvoz</w:t>
      </w:r>
      <w:r w:rsidR="007B302B">
        <w:rPr>
          <w:rFonts w:ascii="Times New Roman" w:eastAsia="Times New Roman" w:hAnsi="Times New Roman" w:cs="Times New Roman"/>
          <w:lang w:bidi="hr-HR"/>
        </w:rPr>
        <w:t xml:space="preserve">u 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(EAR) na način da je slao predmete koji podliježu </w:t>
      </w:r>
      <w:r w:rsidR="007B302B">
        <w:rPr>
          <w:rFonts w:ascii="Times New Roman" w:eastAsia="Times New Roman" w:hAnsi="Times New Roman" w:cs="Times New Roman"/>
          <w:lang w:bidi="hr-HR"/>
        </w:rPr>
        <w:t>P</w:t>
      </w:r>
      <w:r w:rsidRPr="00BD28D4">
        <w:rPr>
          <w:rFonts w:ascii="Times New Roman" w:eastAsia="Times New Roman" w:hAnsi="Times New Roman" w:cs="Times New Roman"/>
          <w:lang w:bidi="hr-HR"/>
        </w:rPr>
        <w:t>ropisima o izvoz</w:t>
      </w:r>
      <w:r w:rsidR="007B302B">
        <w:rPr>
          <w:rFonts w:ascii="Times New Roman" w:eastAsia="Times New Roman" w:hAnsi="Times New Roman" w:cs="Times New Roman"/>
          <w:lang w:bidi="hr-HR"/>
        </w:rPr>
        <w:t xml:space="preserve">u </w:t>
      </w:r>
      <w:r w:rsidRPr="00BD28D4">
        <w:rPr>
          <w:rFonts w:ascii="Times New Roman" w:eastAsia="Times New Roman" w:hAnsi="Times New Roman" w:cs="Times New Roman"/>
          <w:lang w:bidi="hr-HR"/>
        </w:rPr>
        <w:t>(EAR) Saudijskoj Arabiji u ime stranaka koje se nalaze na popisu stranaka s privremenom zabranom izvoza (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Temporary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Denial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Order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). Konkretno, DHL je prihvatio, prenio i proslijedio određene predmete, uključujući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stroboskop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opremu za umrežavanje i pisače, predmete koji podliježu Propisima, iz Sjedinjenih Američkih Država u Saudijsku Arabiju društvu 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Bassam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International/Al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Bassam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Datacom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u ime društva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Tetrabal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Corporation i gospodina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Ihsan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Elashija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iz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Richardsona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u Texasu. U vrijeme slanja tih pošiljki,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Tetrabal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 gospodin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Elashi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sukladno Propisima naloga za privremenu zabranu izvoza s datumom 6. rujna 2001. i koji je objavljen u Saveznom registru 13. rujna 2001. godine imali su zabranu izvoza. Taj privremeni nalog za zabranu izvoza bio je valjan 180 dana i bio je na snazi u vrijeme počinjenja prekršaja. </w:t>
      </w:r>
    </w:p>
    <w:p w14:paraId="45D56FA7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45D56FA8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5. listopada 2005. godine, DHL je pristao platiti novčanu kaznu u iznosu od 18.000 dolara.</w:t>
      </w:r>
    </w:p>
    <w:p w14:paraId="45D56FA9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</w:p>
    <w:p w14:paraId="45D56FAA" w14:textId="77777777" w:rsidR="00775FB4" w:rsidRPr="00BD28D4" w:rsidRDefault="00775FB4" w:rsidP="00775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Naji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Antoine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Abi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Khalil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Tomer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Grinberg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</w:p>
    <w:p w14:paraId="2423B434" w14:textId="77777777" w:rsidR="004E5EB0" w:rsidRPr="004E5EB0" w:rsidRDefault="004E5EB0" w:rsidP="004E5EB0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E5EB0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4E5EB0">
        <w:rPr>
          <w:rFonts w:ascii="Times New Roman" w:eastAsia="Times New Roman" w:hAnsi="Times New Roman" w:cs="Times New Roman"/>
          <w:b/>
          <w:lang w:bidi="hr-HR"/>
        </w:rPr>
        <w:t xml:space="preserve"> </w:t>
      </w:r>
      <w:r w:rsidRPr="004E5EB0">
        <w:rPr>
          <w:rFonts w:ascii="Times New Roman" w:eastAsia="Times New Roman" w:hAnsi="Times New Roman" w:cs="Times New Roman"/>
          <w:lang w:bidi="hr-HR"/>
        </w:rPr>
        <w:t>NAJI ANTOINE ABI KHALIL ("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"), koji ima dvojno državljanstvo (libanonsko i kanadsko) i obnaša funkciju predsjednika i glavnog direktora trgovačkog društva za uvoz i izvoz „New Line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Services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>“ sa sjedištem u Montrealu i TOMER GRINBERG („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“), državljanin Izraela zaposlen u trgovačkom društvu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Tober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Group, poduzeće za otpremu i logistiku sa sjedištem u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Brooklynu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, New York, pokušali su otpremiti u Grčku, bez izvozne dozvole koju zahtijevaju država i Ured za industriju i sigurnost,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Generation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3 opremu za noćno gledanje, uključujući naočale za noćni vid i uređaje za ciljanje. Uređaji za ciljanje s infracrvenom tehnologijom osmišljeni su da bi se montirali na M-16 i druge vojne puške kako bi se lakše naciljala meta prilikom korištenja naočala za noćno gledanje.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Generation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3 predstavlja najvišu razinu tehnologije korištene za noćno gledanje te se kao takva ne može izvoziti bez dozvole.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je također pokušao opskrbiti robom libanonski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Hezbollah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, koji se smatra terorističkom organizacijom.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se izjasnio krivim 9. kolovoza 2005., za pokušaj pružanja materijalne potpore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Hezbollahu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, za pokušaj opskrbe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Hezbollaha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robom vojne namjene kao što su oprema za noćno gledanje i uređaji za ciljanje s infracrvenom tehnologijom i za sudjelovanje u pokušaju izvoza osjetljive vojne opreme iz Sjedinjenih Američkih Država bez potrebnih dozvola. </w:t>
      </w:r>
    </w:p>
    <w:p w14:paraId="08C4E66B" w14:textId="77777777" w:rsidR="004E5EB0" w:rsidRPr="004E5EB0" w:rsidRDefault="004E5EB0" w:rsidP="004E5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C83AD7" w14:textId="77777777" w:rsidR="004E5EB0" w:rsidRPr="004E5EB0" w:rsidRDefault="004E5EB0" w:rsidP="004E5EB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5EB0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4E5EB0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je priznao krivnju za dvije optužbe za urotu povezane s pranjem novca i izvozom robe u Grčku bez potrebne dozvole. Također je priznao krivnju za kršenje jednog IEEPA zakona u vezi s pokušajem izvršenja, izvršenjem ili primanjem financijskih doprinosa za i u korist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Hezbollaha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, terorističke organizacije.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Khalilov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otpremnik,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Tomer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, je također uhićen i optužen za svoju ulogu i priznao je krivnju za planiranje namjernog kršenja načela IEEPA-a. Dana 13. veljače 2006.,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je osuđen na dvije kazne zatvora svaka u trajanju od 5 godina te na kaznu zatvora u trajanju od pedeset i sedam mjeseci koje će služiti istovremeno te je dobio novčanu kaznu u iznosu od 100.000 dolara.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je 12. travnja 2006. osuđen na šest mjeseci zatvora. Dana, 14. studenog 2006., Ured za industriju i sigurnost (BIS) oduzeo je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Khalilu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i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Grindbergu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pravo izvoza na deset godina, u skladu s odjeljkom 11. (h) EAA propisa. Na dan 4. siječnja 2007., </w:t>
      </w:r>
      <w:proofErr w:type="spellStart"/>
      <w:r w:rsidRPr="004E5EB0">
        <w:rPr>
          <w:rFonts w:ascii="Times New Roman" w:eastAsia="Times New Roman" w:hAnsi="Times New Roman" w:cs="Times New Roman"/>
          <w:lang w:bidi="hr-HR"/>
        </w:rPr>
        <w:t>Grinberg</w:t>
      </w:r>
      <w:proofErr w:type="spellEnd"/>
      <w:r w:rsidRPr="004E5EB0">
        <w:rPr>
          <w:rFonts w:ascii="Times New Roman" w:eastAsia="Times New Roman" w:hAnsi="Times New Roman" w:cs="Times New Roman"/>
          <w:lang w:bidi="hr-HR"/>
        </w:rPr>
        <w:t xml:space="preserve"> je deportiran iz Sjedinjenih Američkih Država.</w:t>
      </w:r>
    </w:p>
    <w:p w14:paraId="45D56FAE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45D56FAF" w14:textId="13ECE6C2" w:rsidR="00775FB4" w:rsidRPr="00BD28D4" w:rsidRDefault="00775FB4" w:rsidP="00775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International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Freight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Company, Inc </w:t>
      </w:r>
    </w:p>
    <w:p w14:paraId="45D56FB0" w14:textId="15B84B4A" w:rsidR="00775FB4" w:rsidRPr="00BD28D4" w:rsidRDefault="00775FB4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International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Freight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Company, Inc. (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>) izvozio je računala i povezanu opremu, unatoč privremenoj zabrani izvoza društv</w:t>
      </w:r>
      <w:r w:rsidR="00D23094">
        <w:rPr>
          <w:rFonts w:ascii="Times New Roman" w:eastAsia="Times New Roman" w:hAnsi="Times New Roman" w:cs="Times New Roman"/>
          <w:lang w:bidi="hr-HR"/>
        </w:rPr>
        <w:t>u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Tetrabal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Corporation.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također </w:t>
      </w:r>
      <w:r w:rsidRPr="00BD28D4">
        <w:rPr>
          <w:rFonts w:ascii="Times New Roman" w:eastAsia="Times New Roman" w:hAnsi="Times New Roman" w:cs="Times New Roman"/>
          <w:lang w:bidi="hr-HR"/>
        </w:rPr>
        <w:lastRenderedPageBreak/>
        <w:t xml:space="preserve">lažirao </w:t>
      </w:r>
      <w:r w:rsidR="00D23094">
        <w:rPr>
          <w:rFonts w:ascii="Times New Roman" w:eastAsia="Times New Roman" w:hAnsi="Times New Roman" w:cs="Times New Roman"/>
          <w:lang w:bidi="hr-HR"/>
        </w:rPr>
        <w:t>i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zvoznu deklaraciju </w:t>
      </w:r>
      <w:r w:rsidR="00D23094">
        <w:rPr>
          <w:rFonts w:ascii="Times New Roman" w:eastAsia="Times New Roman" w:hAnsi="Times New Roman" w:cs="Times New Roman"/>
          <w:lang w:bidi="hr-HR"/>
        </w:rPr>
        <w:t>pošiljatelja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(SED) spomenute transakcije.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prilikom podnošenja </w:t>
      </w:r>
      <w:r w:rsidR="00D23094">
        <w:rPr>
          <w:rFonts w:ascii="Times New Roman" w:eastAsia="Times New Roman" w:hAnsi="Times New Roman" w:cs="Times New Roman"/>
          <w:lang w:bidi="hr-HR"/>
        </w:rPr>
        <w:t>i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zvozne deklaracije navelo da su računala i povezana oprema prikladni za izvoz bez dozvole, kada je, u stvari, izvozna dozvola bila potrebna. </w:t>
      </w:r>
    </w:p>
    <w:p w14:paraId="45D56FB1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u w:val="single"/>
        </w:rPr>
      </w:pPr>
    </w:p>
    <w:p w14:paraId="45D56FB2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Salinas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2005. godine pristalo platiti novčanu kaznu ukupnog iznosa od 11.600 dolara</w:t>
      </w:r>
    </w:p>
    <w:p w14:paraId="45D56FB3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highlight w:val="yellow"/>
        </w:rPr>
      </w:pPr>
    </w:p>
    <w:p w14:paraId="45D56FB4" w14:textId="77777777" w:rsidR="00775FB4" w:rsidRPr="00BD28D4" w:rsidRDefault="00775FB4" w:rsidP="00775F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Instruments, Inc./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, Inc. </w:t>
      </w:r>
    </w:p>
    <w:p w14:paraId="677AE87D" w14:textId="77777777" w:rsidR="00D23094" w:rsidRPr="00BD28D4" w:rsidRDefault="00D23094" w:rsidP="00D23094">
      <w:pPr>
        <w:pStyle w:val="CommentText"/>
        <w:spacing w:before="120"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iz San Diega, u Kaliforniji, 2004. godine izvezao je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radiometarski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sustav za profiliranje </w:t>
      </w:r>
      <w:r>
        <w:rPr>
          <w:rFonts w:ascii="Times New Roman" w:eastAsia="Times New Roman" w:hAnsi="Times New Roman" w:cs="Times New Roman"/>
          <w:sz w:val="22"/>
          <w:szCs w:val="22"/>
          <w:lang w:bidi="hr-HR"/>
        </w:rPr>
        <w:t>i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nstitutu za istraživanje svemira „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Space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Application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Center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“ u Indiji, koji se nalazi na popisu subjekata Ureda za industriju i sigurnost, bez potrebne dozvole, i lažno prikazujući činjenice prilikom podnošenja dokumenta za kontrolu izvoza vladi Sjedinjenih Američkih Država.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Inc., iz grada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Torrance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Kaliforniji, pomogao je u izvozu bez dozvole/poticao je izvoz bez dozvole. </w:t>
      </w:r>
    </w:p>
    <w:p w14:paraId="7135E4E4" w14:textId="77777777" w:rsidR="00D23094" w:rsidRPr="00BD28D4" w:rsidRDefault="00D23094" w:rsidP="00D23094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B9AE4BB" w14:textId="77777777" w:rsidR="00D23094" w:rsidRPr="00BD28D4" w:rsidRDefault="00D23094" w:rsidP="00D23094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Dana 20. travnja 2007.,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pristao je platiti novčanu kaznu u iznosu od 13.200 dolara. Istoga dana,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Baltrans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 je pristao platiti novčanu kaznu od 6.000 dolara.  </w:t>
      </w:r>
    </w:p>
    <w:p w14:paraId="4045B4F9" w14:textId="77777777" w:rsidR="00D23094" w:rsidRPr="00BD28D4" w:rsidRDefault="00D23094" w:rsidP="00D23094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D3C8288" w14:textId="77777777" w:rsidR="00D23094" w:rsidRPr="00BD28D4" w:rsidRDefault="00D23094" w:rsidP="00D23094">
      <w:pPr>
        <w:pStyle w:val="CommentText"/>
        <w:spacing w:after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Olakotne okolnosti: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Biospherical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Instruments, Inc. je svojevoljno otkrio kršenje zakona i u potpunosti je surađivao u istrazi.</w:t>
      </w:r>
    </w:p>
    <w:p w14:paraId="45D56FBA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5D56FBB" w14:textId="77777777" w:rsidR="00775FB4" w:rsidRPr="00BD28D4" w:rsidRDefault="00775FB4" w:rsidP="00775FB4">
      <w:pPr>
        <w:pStyle w:val="CommentText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>Kintetsu</w:t>
      </w:r>
      <w:proofErr w:type="spellEnd"/>
      <w:r w:rsidRPr="00BD28D4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 xml:space="preserve"> World Express (SAD), Inc.</w:t>
      </w:r>
    </w:p>
    <w:p w14:paraId="45D56FBC" w14:textId="3AFB30E8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Kintetsu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World Express (SAD), Inc. (KWE) iz istočnog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Rutherforda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New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Jerseyju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2010. godine uzrokovao, sudjelovao i/ili poticao na radnje koje </w:t>
      </w:r>
      <w:r w:rsidR="00627164">
        <w:rPr>
          <w:rFonts w:ascii="Times New Roman" w:eastAsia="Times New Roman" w:hAnsi="Times New Roman" w:cs="Times New Roman"/>
          <w:sz w:val="22"/>
          <w:szCs w:val="22"/>
          <w:lang w:bidi="hr-HR"/>
        </w:rPr>
        <w:t>P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ropisi o izvoz</w:t>
      </w:r>
      <w:r w:rsidR="0062716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u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(EAR) zabranjuju. Konkretno, KWE je u svojstvu </w:t>
      </w:r>
      <w:r w:rsidR="00627164">
        <w:rPr>
          <w:rFonts w:ascii="Times New Roman" w:eastAsia="Times New Roman" w:hAnsi="Times New Roman" w:cs="Times New Roman"/>
          <w:sz w:val="22"/>
          <w:szCs w:val="22"/>
          <w:lang w:bidi="hr-HR"/>
        </w:rPr>
        <w:t>otpremnika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olakšao izvoz triju strojeva za izradu spiralnih cijevi te pripadajućih dodataka koji su označeni kao EAR99 i ukupne su vrijednosti od 250.000 dolara, iz Sjedinjenih Američkih Država u </w:t>
      </w:r>
      <w:r w:rsidR="0062716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NR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Kinu (CPMIEC - kineskoj korporaciji za uvoz/izvoz preciznih strojeva) bez potrebne dozvole američke vlade. U vrijeme izvoza, CPMIEC se nalazio na popisu ograničenih subjekta Ureda za kontrolu strane trgovine pri Ministarstvu financija zato što je opremio iransku vojsku i iranske trgovce oružjem predmetima s dvojnom namjenom povezanim s raketama. </w:t>
      </w:r>
    </w:p>
    <w:p w14:paraId="45D56FBD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5D56FBE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Dana 26. rujna 2014., KWE je pristao platiti novčanu kaznu u iznosu od 30.000 dolara.</w:t>
      </w:r>
    </w:p>
    <w:p w14:paraId="45D56FBF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5D56FC0" w14:textId="181989E0" w:rsidR="00775FB4" w:rsidRPr="00BD28D4" w:rsidRDefault="00775FB4" w:rsidP="00775FB4">
      <w:pPr>
        <w:pStyle w:val="CommentText"/>
        <w:numPr>
          <w:ilvl w:val="0"/>
          <w:numId w:val="9"/>
        </w:numPr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 xml:space="preserve"> Express </w:t>
      </w:r>
      <w:proofErr w:type="spellStart"/>
      <w:r w:rsidR="0025654C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>of</w:t>
      </w:r>
      <w:proofErr w:type="spellEnd"/>
      <w:r w:rsidRPr="00BD28D4">
        <w:rPr>
          <w:rFonts w:ascii="Times New Roman" w:eastAsia="Times New Roman" w:hAnsi="Times New Roman" w:cs="Times New Roman"/>
          <w:b/>
          <w:sz w:val="22"/>
          <w:szCs w:val="22"/>
          <w:lang w:bidi="hr-HR"/>
        </w:rPr>
        <w:t xml:space="preserve"> Miami Corp. </w:t>
      </w:r>
    </w:p>
    <w:p w14:paraId="45D56FC1" w14:textId="72CBBCFB" w:rsidR="00775FB4" w:rsidRPr="00BD28D4" w:rsidRDefault="00775FB4" w:rsidP="00775FB4">
      <w:pPr>
        <w:pStyle w:val="CommentText"/>
        <w:spacing w:before="120"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Od ožujka 2007. do siječnja 2008., otpremnici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Ulises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Talavera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putem svojeg poduzeća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Express </w:t>
      </w:r>
      <w:proofErr w:type="spellStart"/>
      <w:r w:rsidR="00E614EC">
        <w:rPr>
          <w:rFonts w:ascii="Times New Roman" w:eastAsia="Times New Roman" w:hAnsi="Times New Roman" w:cs="Times New Roman"/>
          <w:sz w:val="22"/>
          <w:szCs w:val="22"/>
          <w:lang w:bidi="hr-HR"/>
        </w:rPr>
        <w:t>of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Miami Corp., sa sjedištem u Miamiju na Floridi i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Emilio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Jacinto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Gonzalez-Neira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iz Paragvaja, putem svojeg poduzeća Jumbo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Inc., sa sjedištem u Miamiju, izvozili su EAR99 elektroniku marke Sony gospodinu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Sameru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Mehdiju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vlasniku poduzeća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Jomana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Import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Export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koji se bavi elektronikom, i koje posluje unutar trgovačkog centra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Galeria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Page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grada Ciudad del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Este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 Paragvaju.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Khaled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Safadi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iz Miamija je preko svoje tvrtke Cedar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Distributors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, Inc.</w:t>
      </w:r>
      <w:r w:rsidR="00FB4645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sa sjedištem u Miamiju djelovao kao distributer elektronike za špeditere. Ministarstvo financija Sjedinjenih Američkih Država je 6. prosinca 2006. godine trgovački centar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Galeria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Page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označio kao subjekt koji je povezan s terorističkim radnjama (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Specially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Designated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Global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Terrorist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) zato što služi kao izvor za prikupljanje sredstava za članove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H</w:t>
      </w:r>
      <w:r w:rsidR="00B4620C">
        <w:rPr>
          <w:rFonts w:ascii="Times New Roman" w:eastAsia="Times New Roman" w:hAnsi="Times New Roman" w:cs="Times New Roman"/>
          <w:sz w:val="22"/>
          <w:szCs w:val="22"/>
          <w:lang w:bidi="hr-HR"/>
        </w:rPr>
        <w:t>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zb</w:t>
      </w:r>
      <w:r w:rsidR="00B4620C">
        <w:rPr>
          <w:rFonts w:ascii="Times New Roman" w:eastAsia="Times New Roman" w:hAnsi="Times New Roman" w:cs="Times New Roman"/>
          <w:sz w:val="22"/>
          <w:szCs w:val="22"/>
          <w:lang w:bidi="hr-HR"/>
        </w:rPr>
        <w:t>o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llah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terorističke organizacije i zato što je taj trgovački centar u vlasništvu i pod vodstvom članova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H</w:t>
      </w:r>
      <w:r w:rsidR="00B4620C">
        <w:rPr>
          <w:rFonts w:ascii="Times New Roman" w:eastAsia="Times New Roman" w:hAnsi="Times New Roman" w:cs="Times New Roman"/>
          <w:sz w:val="22"/>
          <w:szCs w:val="22"/>
          <w:lang w:bidi="hr-HR"/>
        </w:rPr>
        <w:t>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zb</w:t>
      </w:r>
      <w:r w:rsidR="00B4620C">
        <w:rPr>
          <w:rFonts w:ascii="Times New Roman" w:eastAsia="Times New Roman" w:hAnsi="Times New Roman" w:cs="Times New Roman"/>
          <w:sz w:val="22"/>
          <w:szCs w:val="22"/>
          <w:lang w:bidi="hr-HR"/>
        </w:rPr>
        <w:t>o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llah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="00BE1173">
        <w:rPr>
          <w:rFonts w:ascii="Times New Roman" w:eastAsia="Times New Roman" w:hAnsi="Times New Roman" w:cs="Times New Roman"/>
          <w:sz w:val="22"/>
          <w:szCs w:val="22"/>
          <w:lang w:bidi="hr-HR"/>
        </w:rPr>
        <w:t>t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erorističke organizacije na </w:t>
      </w:r>
      <w:r w:rsidR="00BE1173">
        <w:rPr>
          <w:rFonts w:ascii="Times New Roman" w:eastAsia="Times New Roman" w:hAnsi="Times New Roman" w:cs="Times New Roman"/>
          <w:sz w:val="22"/>
          <w:szCs w:val="22"/>
          <w:lang w:bidi="hr-HR"/>
        </w:rPr>
        <w:t>granici triju država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Dana 19. veljače 2010. godine, četiri pojedinaca i tri poduzeća iz Miamija optuženi su u južnom okrugu Floride za nezakonit izvoz elektroničke opreme u Paragvaj subjektu koji se nalazi na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lastRenderedPageBreak/>
        <w:t xml:space="preserve">američkom popisu terorističkih subjekata. Dana 18. kolovoza 2014. godine,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Samer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Mehdi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predao se specijalnim agentima iz američkog Ministarstva domovinske sigurnosti koji su ga otpratili iz Brazila u Miami, </w:t>
      </w:r>
      <w:r w:rsidR="00D778A3">
        <w:rPr>
          <w:rFonts w:ascii="Times New Roman" w:eastAsia="Times New Roman" w:hAnsi="Times New Roman" w:cs="Times New Roman"/>
          <w:sz w:val="22"/>
          <w:szCs w:val="22"/>
          <w:lang w:bidi="hr-HR"/>
        </w:rPr>
        <w:t>na Floridi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Po dolasku u Međunarodnu zračnu luku u Miamiju, 19. kolovoza 2014.,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Mehdi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uhićen. Dana 19. kolovoza 2014.,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Mehdi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priznao krivnju za krijumčarenje robe iz Sjedinjenih Država. Dana 15. rujna 2010.,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Gonzalez-Neira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Jumbo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 priznali su krivnju za prekršaje vezane za zavjeru. </w:t>
      </w:r>
      <w:r w:rsidR="00E17A6C">
        <w:rPr>
          <w:rFonts w:ascii="Times New Roman" w:eastAsia="Times New Roman" w:hAnsi="Times New Roman" w:cs="Times New Roman"/>
          <w:sz w:val="22"/>
          <w:szCs w:val="22"/>
          <w:lang w:bidi="hr-HR"/>
        </w:rPr>
        <w:t>Dana 1.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listopada 2010.,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Safadi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Cedar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Distributors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Inc. priznali su krivnju za prekršaje vezane za</w:t>
      </w:r>
      <w:r w:rsidR="00E17A6C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zavjeru, i 20. listopada 2010.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Talavera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iz Miami Corp. priznali su krivnju za prekršaje vezane za zavjeru. </w:t>
      </w:r>
    </w:p>
    <w:p w14:paraId="45D56FC2" w14:textId="77777777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45D56FC3" w14:textId="4BADD94D" w:rsidR="00775FB4" w:rsidRPr="00BD28D4" w:rsidRDefault="00775FB4" w:rsidP="00775FB4">
      <w:pPr>
        <w:pStyle w:val="CommentText"/>
        <w:spacing w:after="0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BD28D4">
        <w:rPr>
          <w:rFonts w:ascii="Times New Roman" w:eastAsia="Times New Roman" w:hAnsi="Times New Roman" w:cs="Times New Roman"/>
          <w:sz w:val="22"/>
          <w:szCs w:val="22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Dana 19. kolovoza 2014.,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Mehdi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osuđen na godinu dana uvjetne kazne, 100 dolara novčane kazne za posebna davanja te je predao svoj dio elektroničke opreme u vrijednosti od 256.680 dolara. Dana 24. siječnja 2011.,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Safadi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Cedar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Distributors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Inc.,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Talavera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Express iz Miami Corp. su osuđeni.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Safadi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osuđen na šest mjeseci kućnog pritvora, šest mjeseci uvjetne kazne i 100 dolara novčane kazne za posebna davanja.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Talavera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osuđen na šest mjeseci kućnog pritvora, 100 dolara posebne 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>kazne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, i zajedno s Cedar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Distributions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Inc.,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Express iz Miami Corp, gospodinom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Gonzalez-Neira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Jumbo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Inc.mora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predati iznos od 40.000 dolara vrijednosti zaplijenjene elektroničke opreme.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Transamerica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Express iz Miami Corp. je osuđen</w:t>
      </w:r>
      <w:r w:rsidR="00E17A6C">
        <w:rPr>
          <w:rFonts w:ascii="Times New Roman" w:eastAsia="Times New Roman" w:hAnsi="Times New Roman" w:cs="Times New Roman"/>
          <w:sz w:val="22"/>
          <w:szCs w:val="22"/>
          <w:lang w:bidi="hr-HR"/>
        </w:rPr>
        <w:t>o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na tri godine uvjetne kazne, 100.000 novčane kazne, 400 dolara 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>posebne kazne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</w:t>
      </w:r>
      <w:r w:rsidR="008137AE" w:rsidRP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>oduzimanje udjela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Cedar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Distributors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je osuđen na tri godine uvjetne kazne, 400 dolara 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>posebne kazne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 oduzimanje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udjela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. Dana 4. siječnja 2011., Jumbo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Cargo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Inc. osuđen je na godinu dana uvjetne kazne, novčanu kaznu od 20.000 dolara, 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posebnu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novčanu kaznu u iznosu od 400 dolara i zajedničko oduzimanje. Dana 4. siječnja 2011. godine, </w:t>
      </w:r>
      <w:proofErr w:type="spellStart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>Gonzalez-Neira</w:t>
      </w:r>
      <w:proofErr w:type="spellEnd"/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 osuđen je na 13 mjeseci kućnog pritvora, 100 dolara </w:t>
      </w:r>
      <w:r w:rsid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posebne 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t xml:space="preserve">novčane kazne i </w:t>
      </w:r>
      <w:r w:rsidR="008137AE" w:rsidRPr="008137AE">
        <w:rPr>
          <w:rFonts w:ascii="Times New Roman" w:eastAsia="Times New Roman" w:hAnsi="Times New Roman" w:cs="Times New Roman"/>
          <w:sz w:val="22"/>
          <w:szCs w:val="22"/>
          <w:lang w:bidi="hr-HR"/>
        </w:rPr>
        <w:t>oduzimanje udjela.</w:t>
      </w:r>
      <w:r w:rsidRPr="00BD28D4">
        <w:rPr>
          <w:rFonts w:ascii="Times New Roman" w:eastAsia="Times New Roman" w:hAnsi="Times New Roman" w:cs="Times New Roman"/>
          <w:sz w:val="22"/>
          <w:szCs w:val="22"/>
          <w:lang w:bidi="hr-HR"/>
        </w:rPr>
        <w:br w:type="page"/>
      </w:r>
    </w:p>
    <w:p w14:paraId="45D56FC4" w14:textId="77777777" w:rsidR="00775FB4" w:rsidRPr="00BD28D4" w:rsidRDefault="00775FB4" w:rsidP="00775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28D4">
        <w:rPr>
          <w:rFonts w:ascii="Times New Roman" w:eastAsia="Times New Roman" w:hAnsi="Times New Roman" w:cs="Times New Roman"/>
          <w:i/>
          <w:lang w:bidi="hr-HR"/>
        </w:rPr>
        <w:lastRenderedPageBreak/>
        <w:t xml:space="preserve">Otprema u zemlju pod embargom </w:t>
      </w:r>
    </w:p>
    <w:p w14:paraId="45D56FC5" w14:textId="77777777" w:rsidR="00775FB4" w:rsidRPr="00BD28D4" w:rsidRDefault="00775FB4" w:rsidP="00775F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80"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Trans (Sjeverna Amerika)/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Roger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>/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Muhammad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Bhatti</w:t>
      </w:r>
      <w:proofErr w:type="spellEnd"/>
    </w:p>
    <w:p w14:paraId="45D56FC6" w14:textId="1B815C9F" w:rsidR="00775FB4" w:rsidRPr="00BD28D4" w:rsidRDefault="00775FB4" w:rsidP="00775FB4">
      <w:pPr>
        <w:pStyle w:val="ListParagraph"/>
        <w:autoSpaceDE w:val="0"/>
        <w:autoSpaceDN w:val="0"/>
        <w:adjustRightInd w:val="0"/>
        <w:spacing w:before="120" w:after="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-Trans (Sjeverna Amerika), </w:t>
      </w:r>
      <w:proofErr w:type="spellStart"/>
      <w:r w:rsidR="002F4E68">
        <w:rPr>
          <w:rFonts w:ascii="Times New Roman" w:eastAsia="Times New Roman" w:hAnsi="Times New Roman" w:cs="Times New Roman"/>
          <w:lang w:bidi="hr-HR"/>
        </w:rPr>
        <w:t>Jamaica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New York, trgovačko društvo koje se bavi </w:t>
      </w:r>
      <w:r w:rsidR="002F4E68">
        <w:rPr>
          <w:rFonts w:ascii="Times New Roman" w:eastAsia="Times New Roman" w:hAnsi="Times New Roman" w:cs="Times New Roman"/>
          <w:lang w:bidi="hr-HR"/>
        </w:rPr>
        <w:t>otpremom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Roger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umirovljeni viši dopredsjednik trgovačkog društva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Gondrand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AG, sa sjedištem 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Baselu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Švicarska, 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Muhammad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Bhatti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glavni voditelj poslovanja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-Transa, dali su lažne izjave u vezi s pokušajem izvoza strojeva za rezanje cijevi u Iran preko Njemačke. </w:t>
      </w:r>
    </w:p>
    <w:p w14:paraId="45D56FC7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C8" w14:textId="57221171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Sve tri strane priznale su krivnju na optužbe za davanje lažnih izjava. Dana 24. listopada 2007. godine,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Trans je osuđen na godinu dana uvjetne kazne te mu je izrečena i novčana kazna u iznosu od 34.000 dolara;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Roger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osuđen na godinu dana uvjetne kazne te mu je izrečena i novčana kazna u iznosu od 5.000 dolara;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Muhammad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Batti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osuđen na godinu dana uvjetne kazne. U povezanim upravnim predmetima,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Bhatti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platio 34.000 dolara novčane kazne,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Unterberger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platio 25.500 dolara novčane kazne</w:t>
      </w:r>
      <w:r w:rsidR="007D7E9E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dok je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Go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Trans platio 34.000 dolara novčane kazne.</w:t>
      </w:r>
    </w:p>
    <w:p w14:paraId="45D56FC9" w14:textId="77777777" w:rsidR="00775FB4" w:rsidRPr="00BD28D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45D56FCA" w14:textId="77777777" w:rsidR="00775FB4" w:rsidRPr="00BD28D4" w:rsidRDefault="00775FB4" w:rsidP="00775F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Matthew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Kallgren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/ PC Industries </w:t>
      </w:r>
    </w:p>
    <w:p w14:paraId="45D56FCB" w14:textId="75113CD9" w:rsidR="00775FB4" w:rsidRPr="00BD28D4" w:rsidRDefault="00775FB4" w:rsidP="00775FB4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Matthew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je 2008. godine kao voditelj prodaje u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Powerline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Components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Industries iz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Aftona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savezna država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Wyoming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pokušao izvesti EAR99 dijelove motora u Siriju preko Ujedinjenih Arapskih Emirata. Istraga je dovela do nagodbe s gospodinom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Matthewom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Kallgrenom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i administrativnih kazni protiv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Kallgrena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, PC Industries i </w:t>
      </w:r>
      <w:r w:rsidR="00214AA7">
        <w:rPr>
          <w:rFonts w:ascii="Times New Roman" w:eastAsia="Times New Roman" w:hAnsi="Times New Roman" w:cs="Times New Roman"/>
          <w:lang w:bidi="hr-HR"/>
        </w:rPr>
        <w:t>otpremnika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, RIM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. </w:t>
      </w:r>
    </w:p>
    <w:p w14:paraId="45D56FCC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</w:p>
    <w:p w14:paraId="45D56FCD" w14:textId="1ABA72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priznao krivnju i osuđen je u siječnju 2012. na tri godine uvjetne kazne, uključujući četiri mjeseca kućnog pritvora. PC Industries dobi</w:t>
      </w:r>
      <w:r w:rsidR="00214AA7">
        <w:rPr>
          <w:rFonts w:ascii="Times New Roman" w:eastAsia="Times New Roman" w:hAnsi="Times New Roman" w:cs="Times New Roman"/>
          <w:lang w:bidi="hr-HR"/>
        </w:rPr>
        <w:t>lo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je odgodu kaznenog progona. Ured za industriju i sigurnost sklopio je sporazume o nagodbi s PC Industries i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Kallgrenom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koji uključuju tri godine zabrane izvoza.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Kallgren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je pristao na umanjenu novčanu kaznu u iznosu od 75.000 dolara, a tvrtka je pristala na 60.000 dolara kazne. RIM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Logistics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se nagodio s Uredom za industriju i sigurnost</w:t>
      </w:r>
      <w:r w:rsidR="00214AA7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a nagodba iznosi 50.000 dolara..</w:t>
      </w:r>
    </w:p>
    <w:p w14:paraId="45D56FCE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5D56FCF" w14:textId="77777777" w:rsidR="00775FB4" w:rsidRPr="00BD28D4" w:rsidRDefault="00775FB4" w:rsidP="00775FB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International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Freight</w:t>
      </w:r>
      <w:proofErr w:type="spellEnd"/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b/>
          <w:lang w:bidi="hr-HR"/>
        </w:rPr>
        <w:t>Forwarder</w:t>
      </w:r>
      <w:proofErr w:type="spellEnd"/>
    </w:p>
    <w:p w14:paraId="45D56FD0" w14:textId="7DC60D83" w:rsidR="00775FB4" w:rsidRPr="00BD28D4" w:rsidRDefault="00775FB4" w:rsidP="00775FB4">
      <w:pPr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U lipnju 2000., International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Freight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</w:t>
      </w:r>
      <w:proofErr w:type="spellStart"/>
      <w:r w:rsidRPr="00BD28D4">
        <w:rPr>
          <w:rFonts w:ascii="Times New Roman" w:eastAsia="Times New Roman" w:hAnsi="Times New Roman" w:cs="Times New Roman"/>
          <w:lang w:bidi="hr-HR"/>
        </w:rPr>
        <w:t>Forwarders</w:t>
      </w:r>
      <w:proofErr w:type="spellEnd"/>
      <w:r w:rsidRPr="00BD28D4">
        <w:rPr>
          <w:rFonts w:ascii="Times New Roman" w:eastAsia="Times New Roman" w:hAnsi="Times New Roman" w:cs="Times New Roman"/>
          <w:lang w:bidi="hr-HR"/>
        </w:rPr>
        <w:t xml:space="preserve"> (IFF), kanadska tvrtka, sudjelovala je u pokušaju nezakonitog izvoza na Kubu nekoliko kutija medicinske opreme iz Sjedinjenih Američkih Država i pristala dogovoriti otpremu te opreme iz SAD-a na Kubu, preko Kanade. Oprema nije imala dozvolu za izvoz na Kubu, a kasnije je opremu zaplijenila Kanadska vlada</w:t>
      </w:r>
      <w:r w:rsidR="00214AA7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prije nego je stigla na Kubu. </w:t>
      </w:r>
    </w:p>
    <w:p w14:paraId="45D56FD1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u w:val="single"/>
        </w:rPr>
      </w:pPr>
    </w:p>
    <w:p w14:paraId="45D56FD2" w14:textId="0D9A2703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Zamjenik glavnog tajnika za industriju i sigurnost potvrdio je 2008. godine</w:t>
      </w:r>
      <w:r w:rsidR="00214AA7">
        <w:rPr>
          <w:rFonts w:ascii="Times New Roman" w:eastAsia="Times New Roman" w:hAnsi="Times New Roman" w:cs="Times New Roman"/>
          <w:lang w:bidi="hr-HR"/>
        </w:rPr>
        <w:t xml:space="preserve"> </w:t>
      </w:r>
      <w:r w:rsidRPr="00BD28D4">
        <w:rPr>
          <w:rFonts w:ascii="Times New Roman" w:eastAsia="Times New Roman" w:hAnsi="Times New Roman" w:cs="Times New Roman"/>
          <w:lang w:bidi="hr-HR"/>
        </w:rPr>
        <w:t>novčanu kaznu u iznosu od 6.000 dolara i trogodišnju zabranu izvoza koju je predložio sudac upravnog suda</w:t>
      </w:r>
      <w:r w:rsidR="00214AA7">
        <w:rPr>
          <w:rFonts w:ascii="Times New Roman" w:eastAsia="Times New Roman" w:hAnsi="Times New Roman" w:cs="Times New Roman"/>
          <w:lang w:bidi="hr-HR"/>
        </w:rPr>
        <w:t>,</w:t>
      </w:r>
      <w:r w:rsidRPr="00BD28D4">
        <w:rPr>
          <w:rFonts w:ascii="Times New Roman" w:eastAsia="Times New Roman" w:hAnsi="Times New Roman" w:cs="Times New Roman"/>
          <w:lang w:bidi="hr-HR"/>
        </w:rPr>
        <w:t xml:space="preserve"> a zabrana se ukida ako IFF plati novčanu kaznu u roku od trideset dana.</w:t>
      </w:r>
    </w:p>
    <w:p w14:paraId="45D56FD3" w14:textId="77777777" w:rsidR="00775FB4" w:rsidRPr="00BD28D4" w:rsidRDefault="00775FB4" w:rsidP="00775FB4">
      <w:pPr>
        <w:rPr>
          <w:rFonts w:ascii="Times New Roman" w:hAnsi="Times New Roman" w:cs="Times New Roman"/>
        </w:rPr>
      </w:pPr>
      <w:r w:rsidRPr="00BD28D4">
        <w:rPr>
          <w:rFonts w:ascii="Times New Roman" w:eastAsia="Times New Roman" w:hAnsi="Times New Roman" w:cs="Times New Roman"/>
          <w:lang w:bidi="hr-HR"/>
        </w:rPr>
        <w:br w:type="page"/>
      </w:r>
    </w:p>
    <w:p w14:paraId="45D56FD4" w14:textId="77777777" w:rsidR="00775FB4" w:rsidRPr="00BD28D4" w:rsidRDefault="00775FB4" w:rsidP="00775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28D4">
        <w:rPr>
          <w:rFonts w:ascii="Times New Roman" w:eastAsia="Times New Roman" w:hAnsi="Times New Roman" w:cs="Times New Roman"/>
          <w:i/>
          <w:lang w:bidi="hr-HR"/>
        </w:rPr>
        <w:lastRenderedPageBreak/>
        <w:t>Vođenje evidencije</w:t>
      </w:r>
    </w:p>
    <w:p w14:paraId="45D56FD5" w14:textId="77777777" w:rsidR="00775FB4" w:rsidRPr="00BD28D4" w:rsidRDefault="00775FB4" w:rsidP="00775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12B1739C" w14:textId="0371E936" w:rsidR="00214AA7" w:rsidRPr="00214AA7" w:rsidRDefault="00775FB4" w:rsidP="00214AA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 w:rsidRPr="00BD28D4">
        <w:rPr>
          <w:rFonts w:ascii="Times New Roman" w:eastAsia="Times New Roman" w:hAnsi="Times New Roman" w:cs="Times New Roman"/>
          <w:b/>
          <w:lang w:bidi="hr-HR"/>
        </w:rPr>
        <w:t>DPWN Holdings (SAD), Inc. (</w:t>
      </w:r>
      <w:r w:rsidR="00214AA7">
        <w:rPr>
          <w:rFonts w:ascii="Times New Roman" w:eastAsia="Times New Roman" w:hAnsi="Times New Roman" w:cs="Times New Roman"/>
          <w:b/>
          <w:lang w:bidi="hr-HR"/>
        </w:rPr>
        <w:t>prethodno</w:t>
      </w:r>
      <w:r w:rsidRPr="00BD28D4">
        <w:rPr>
          <w:rFonts w:ascii="Times New Roman" w:eastAsia="Times New Roman" w:hAnsi="Times New Roman" w:cs="Times New Roman"/>
          <w:b/>
          <w:lang w:bidi="hr-HR"/>
        </w:rPr>
        <w:t xml:space="preserve"> poznat kao DHL Holdings (SAD), Inc.)</w:t>
      </w:r>
    </w:p>
    <w:p w14:paraId="440C79E9" w14:textId="77777777" w:rsidR="00214AA7" w:rsidRPr="00214AA7" w:rsidRDefault="00214AA7" w:rsidP="00214AA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</w:p>
    <w:p w14:paraId="7D383E59" w14:textId="77777777" w:rsidR="00214AA7" w:rsidRPr="00214AA7" w:rsidRDefault="00214AA7" w:rsidP="00214AA7">
      <w:pPr>
        <w:pStyle w:val="ListParagraph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14AA7">
        <w:rPr>
          <w:rFonts w:ascii="Times New Roman" w:eastAsia="Times New Roman" w:hAnsi="Times New Roman" w:cs="Times New Roman"/>
          <w:u w:val="single"/>
          <w:lang w:bidi="hr-HR"/>
        </w:rPr>
        <w:t>Prekršaj:</w:t>
      </w:r>
      <w:r w:rsidRPr="00214AA7">
        <w:rPr>
          <w:rFonts w:ascii="Times New Roman" w:eastAsia="Times New Roman" w:hAnsi="Times New Roman" w:cs="Times New Roman"/>
          <w:lang w:bidi="hr-HR"/>
        </w:rPr>
        <w:t xml:space="preserve"> DPWN Holdings (SAD), Inc. (prethodno poznat kao DHL Holdings (SAD), Inc.) i DHL Express (SAD), Inc. (skupno „DHL“) bespravno su sudjelovali u nedozvoljenom izvozu u Siriju, Iran i Sudan te se prilikom brojnih izvoza u te zemlje nisu pridržavali izvoznih propisa Ureda za kontrolu strane trgovine (OFAC) niti su udovoljili zahtjevima za vođenje evidencije. Ured za industriju i sigurnost tereti DHL da je u osam navrata između lipnja 2004. i rujna 2004. sudjelovao u radnjama koje su zabranjene sukladno Propisima o izvozu (EAR) prilikom izvoza predmeta koji podliježu Propisima o izvozu (EAR) iz Sjedinjenih Američkih Država u Siriju te da nije bio u stanju sačuvati zračne teretne listove i drugu traženu dokumentaciju prilikom 90 različitih procesa izvoza između svibnja 2004. i studenog 2004. godine. Ured za kontrolu strane trgovine (OFAC) optužio je DHL za kršenje više različitih propisa Ureda za kontrolu strane trgovine u razdoblju od 2002. do 2006. godine koji se odnose na tisuće pošiljaka u Iran i Sudan. DHL-ovi prekršaji prvenstveno uključuju nepoštivanje zahtjeva za vođenje evidencije Ureda za kontrolu strane trgovine (OFAC) </w:t>
      </w:r>
    </w:p>
    <w:p w14:paraId="71BCD304" w14:textId="77777777" w:rsidR="00214AA7" w:rsidRPr="00214AA7" w:rsidRDefault="00214AA7" w:rsidP="00214A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3F835DD" w14:textId="77777777" w:rsidR="00214AA7" w:rsidRPr="00214AA7" w:rsidRDefault="00214AA7" w:rsidP="00214A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214AA7">
        <w:rPr>
          <w:rFonts w:ascii="Times New Roman" w:eastAsia="Times New Roman" w:hAnsi="Times New Roman" w:cs="Times New Roman"/>
          <w:u w:val="single"/>
          <w:lang w:bidi="hr-HR"/>
        </w:rPr>
        <w:t>Kazna:</w:t>
      </w:r>
      <w:r w:rsidRPr="00214AA7">
        <w:rPr>
          <w:rFonts w:ascii="Times New Roman" w:eastAsia="Times New Roman" w:hAnsi="Times New Roman" w:cs="Times New Roman"/>
          <w:lang w:bidi="hr-HR"/>
        </w:rPr>
        <w:t xml:space="preserve"> U kolovozu 2009., DHL je pristao platiti novčanu kaznu u iznosu od 9.444.744 dolara i provesti vanjske revizije koje pokrivaju izvoz u Iran, Siriju i Sudan od ožujka 2007. do prosinca 2011.</w:t>
      </w:r>
    </w:p>
    <w:p w14:paraId="45D56FDA" w14:textId="77777777" w:rsidR="00775FB4" w:rsidRPr="007E27DE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45D56FDB" w14:textId="606536EA" w:rsidR="00BE4A77" w:rsidRPr="00775FB4" w:rsidRDefault="00775FB4" w:rsidP="00775F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BD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Za više informacija o slučajevima </w:t>
      </w:r>
      <w:r w:rsidR="00214AA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primjene propisa kontrole izvoza</w:t>
      </w:r>
      <w:r w:rsidRPr="00307BD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u Sjedinjenim Američkim Državama</w:t>
      </w:r>
      <w:r w:rsidR="00214AA7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,</w:t>
      </w:r>
      <w:r w:rsidRPr="00307BD3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 xml:space="preserve"> </w:t>
      </w:r>
      <w:hyperlink r:id="rId11" w:history="1">
        <w:r w:rsidR="00214AA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kliknite ovdj</w:t>
        </w:r>
        <w:bookmarkStart w:id="0" w:name="_GoBack"/>
        <w:bookmarkEnd w:id="0"/>
        <w:r w:rsidR="00214AA7" w:rsidRPr="00307BD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</w:t>
        </w:r>
      </w:hyperlink>
      <w:r w:rsidR="00214AA7" w:rsidRPr="00307BD3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sectPr w:rsidR="00BE4A77" w:rsidRPr="00775FB4" w:rsidSect="0031324E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C75B" w14:textId="77777777" w:rsidR="00144133" w:rsidRDefault="00144133" w:rsidP="006F2B1A">
      <w:pPr>
        <w:spacing w:after="0" w:line="240" w:lineRule="auto"/>
      </w:pPr>
      <w:r>
        <w:separator/>
      </w:r>
    </w:p>
  </w:endnote>
  <w:endnote w:type="continuationSeparator" w:id="0">
    <w:p w14:paraId="3D154EAF" w14:textId="77777777" w:rsidR="00144133" w:rsidRDefault="00144133" w:rsidP="006F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56FE0" w14:textId="1223E511" w:rsidR="004F1B60" w:rsidRDefault="004F1B60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11312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5D56FE1" w14:textId="77777777" w:rsidR="004F1B60" w:rsidRDefault="004F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077DB" w14:textId="77777777" w:rsidR="00144133" w:rsidRDefault="00144133" w:rsidP="006F2B1A">
      <w:pPr>
        <w:spacing w:after="0" w:line="240" w:lineRule="auto"/>
      </w:pPr>
      <w:r>
        <w:separator/>
      </w:r>
    </w:p>
  </w:footnote>
  <w:footnote w:type="continuationSeparator" w:id="0">
    <w:p w14:paraId="494AE9F7" w14:textId="77777777" w:rsidR="00144133" w:rsidRDefault="00144133" w:rsidP="006F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446"/>
    <w:multiLevelType w:val="hybridMultilevel"/>
    <w:tmpl w:val="EFFE76DC"/>
    <w:lvl w:ilvl="0" w:tplc="487E78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4D"/>
    <w:multiLevelType w:val="hybridMultilevel"/>
    <w:tmpl w:val="1E0E7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2CB1"/>
    <w:multiLevelType w:val="hybridMultilevel"/>
    <w:tmpl w:val="80E0ABF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4DAE"/>
    <w:multiLevelType w:val="hybridMultilevel"/>
    <w:tmpl w:val="7D383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C2C26"/>
    <w:multiLevelType w:val="hybridMultilevel"/>
    <w:tmpl w:val="CDF81F6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A3797"/>
    <w:multiLevelType w:val="hybridMultilevel"/>
    <w:tmpl w:val="C0C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61B6"/>
    <w:multiLevelType w:val="hybridMultilevel"/>
    <w:tmpl w:val="7ED8B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5C45"/>
    <w:multiLevelType w:val="hybridMultilevel"/>
    <w:tmpl w:val="EC226D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712D"/>
    <w:multiLevelType w:val="hybridMultilevel"/>
    <w:tmpl w:val="4AB2027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542C"/>
    <w:multiLevelType w:val="hybridMultilevel"/>
    <w:tmpl w:val="E0A00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FAE"/>
    <w:multiLevelType w:val="hybridMultilevel"/>
    <w:tmpl w:val="492440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040341"/>
    <w:multiLevelType w:val="hybridMultilevel"/>
    <w:tmpl w:val="FED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5426"/>
    <w:multiLevelType w:val="hybridMultilevel"/>
    <w:tmpl w:val="08AC2FD4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60E9"/>
    <w:multiLevelType w:val="hybridMultilevel"/>
    <w:tmpl w:val="059CA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36E08"/>
    <w:multiLevelType w:val="hybridMultilevel"/>
    <w:tmpl w:val="048CABAC"/>
    <w:lvl w:ilvl="0" w:tplc="5D0E6D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E702F"/>
    <w:multiLevelType w:val="hybridMultilevel"/>
    <w:tmpl w:val="13DE6F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B53BD"/>
    <w:multiLevelType w:val="hybridMultilevel"/>
    <w:tmpl w:val="D93C84BA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E438D"/>
    <w:multiLevelType w:val="hybridMultilevel"/>
    <w:tmpl w:val="96501B6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159FC"/>
    <w:multiLevelType w:val="hybridMultilevel"/>
    <w:tmpl w:val="A06A9A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0B72BC"/>
    <w:multiLevelType w:val="hybridMultilevel"/>
    <w:tmpl w:val="3D6E00B6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26A6B"/>
    <w:multiLevelType w:val="hybridMultilevel"/>
    <w:tmpl w:val="BEF43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19E7"/>
    <w:multiLevelType w:val="hybridMultilevel"/>
    <w:tmpl w:val="C7DC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BB8"/>
    <w:multiLevelType w:val="hybridMultilevel"/>
    <w:tmpl w:val="18283B2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4BBC"/>
    <w:multiLevelType w:val="hybridMultilevel"/>
    <w:tmpl w:val="67F0DA9E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A08FD"/>
    <w:multiLevelType w:val="hybridMultilevel"/>
    <w:tmpl w:val="B37AD8FE"/>
    <w:lvl w:ilvl="0" w:tplc="21F06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A1EB1"/>
    <w:multiLevelType w:val="hybridMultilevel"/>
    <w:tmpl w:val="56989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E2355"/>
    <w:multiLevelType w:val="hybridMultilevel"/>
    <w:tmpl w:val="34DC6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12F38"/>
    <w:multiLevelType w:val="hybridMultilevel"/>
    <w:tmpl w:val="43EE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47ED"/>
    <w:multiLevelType w:val="hybridMultilevel"/>
    <w:tmpl w:val="0E0AD7D2"/>
    <w:lvl w:ilvl="0" w:tplc="DF02C9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20770F"/>
    <w:multiLevelType w:val="hybridMultilevel"/>
    <w:tmpl w:val="697E897A"/>
    <w:lvl w:ilvl="0" w:tplc="99468F4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3A5C"/>
    <w:multiLevelType w:val="hybridMultilevel"/>
    <w:tmpl w:val="32C4E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189E"/>
    <w:multiLevelType w:val="hybridMultilevel"/>
    <w:tmpl w:val="53484164"/>
    <w:lvl w:ilvl="0" w:tplc="14CE90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BE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9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0AC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B6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C40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6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E7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5B6826"/>
    <w:multiLevelType w:val="hybridMultilevel"/>
    <w:tmpl w:val="9FBA0AA8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653D8"/>
    <w:multiLevelType w:val="hybridMultilevel"/>
    <w:tmpl w:val="0D803DFC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F76F5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3"/>
  </w:num>
  <w:num w:numId="5">
    <w:abstractNumId w:val="12"/>
  </w:num>
  <w:num w:numId="6">
    <w:abstractNumId w:val="6"/>
  </w:num>
  <w:num w:numId="7">
    <w:abstractNumId w:val="9"/>
  </w:num>
  <w:num w:numId="8">
    <w:abstractNumId w:val="22"/>
  </w:num>
  <w:num w:numId="9">
    <w:abstractNumId w:val="8"/>
  </w:num>
  <w:num w:numId="10">
    <w:abstractNumId w:val="25"/>
  </w:num>
  <w:num w:numId="11">
    <w:abstractNumId w:val="30"/>
  </w:num>
  <w:num w:numId="12">
    <w:abstractNumId w:val="17"/>
  </w:num>
  <w:num w:numId="13">
    <w:abstractNumId w:val="29"/>
  </w:num>
  <w:num w:numId="14">
    <w:abstractNumId w:val="18"/>
  </w:num>
  <w:num w:numId="15">
    <w:abstractNumId w:val="24"/>
  </w:num>
  <w:num w:numId="16">
    <w:abstractNumId w:val="20"/>
  </w:num>
  <w:num w:numId="17">
    <w:abstractNumId w:val="34"/>
  </w:num>
  <w:num w:numId="18">
    <w:abstractNumId w:val="23"/>
  </w:num>
  <w:num w:numId="19">
    <w:abstractNumId w:val="13"/>
  </w:num>
  <w:num w:numId="20">
    <w:abstractNumId w:val="0"/>
  </w:num>
  <w:num w:numId="21">
    <w:abstractNumId w:val="15"/>
  </w:num>
  <w:num w:numId="22">
    <w:abstractNumId w:val="2"/>
  </w:num>
  <w:num w:numId="23">
    <w:abstractNumId w:val="16"/>
  </w:num>
  <w:num w:numId="24">
    <w:abstractNumId w:val="19"/>
  </w:num>
  <w:num w:numId="25">
    <w:abstractNumId w:val="7"/>
  </w:num>
  <w:num w:numId="26">
    <w:abstractNumId w:val="11"/>
  </w:num>
  <w:num w:numId="27">
    <w:abstractNumId w:val="26"/>
  </w:num>
  <w:num w:numId="28">
    <w:abstractNumId w:val="3"/>
  </w:num>
  <w:num w:numId="29">
    <w:abstractNumId w:val="21"/>
  </w:num>
  <w:num w:numId="30">
    <w:abstractNumId w:val="1"/>
  </w:num>
  <w:num w:numId="31">
    <w:abstractNumId w:val="27"/>
  </w:num>
  <w:num w:numId="32">
    <w:abstractNumId w:val="14"/>
  </w:num>
  <w:num w:numId="33">
    <w:abstractNumId w:val="32"/>
  </w:num>
  <w:num w:numId="34">
    <w:abstractNumId w:val="31"/>
  </w:num>
  <w:num w:numId="3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A8"/>
    <w:rsid w:val="000001F8"/>
    <w:rsid w:val="000032D9"/>
    <w:rsid w:val="00013896"/>
    <w:rsid w:val="00020451"/>
    <w:rsid w:val="000303A0"/>
    <w:rsid w:val="000349F8"/>
    <w:rsid w:val="00034B70"/>
    <w:rsid w:val="0006618B"/>
    <w:rsid w:val="000714A8"/>
    <w:rsid w:val="00072D56"/>
    <w:rsid w:val="000802DC"/>
    <w:rsid w:val="000806A0"/>
    <w:rsid w:val="00095DC9"/>
    <w:rsid w:val="000B15D6"/>
    <w:rsid w:val="000B234C"/>
    <w:rsid w:val="000B4EEA"/>
    <w:rsid w:val="000D5DAD"/>
    <w:rsid w:val="000D65EC"/>
    <w:rsid w:val="000F4AD6"/>
    <w:rsid w:val="000F55F4"/>
    <w:rsid w:val="000F5B8D"/>
    <w:rsid w:val="00112793"/>
    <w:rsid w:val="001133B5"/>
    <w:rsid w:val="00114F63"/>
    <w:rsid w:val="001166F4"/>
    <w:rsid w:val="0011776E"/>
    <w:rsid w:val="00117D35"/>
    <w:rsid w:val="00122398"/>
    <w:rsid w:val="00127B3A"/>
    <w:rsid w:val="001310B2"/>
    <w:rsid w:val="00144133"/>
    <w:rsid w:val="001444E5"/>
    <w:rsid w:val="0015194A"/>
    <w:rsid w:val="00154452"/>
    <w:rsid w:val="001552D6"/>
    <w:rsid w:val="001855FD"/>
    <w:rsid w:val="001856FC"/>
    <w:rsid w:val="00194A93"/>
    <w:rsid w:val="00195024"/>
    <w:rsid w:val="00197758"/>
    <w:rsid w:val="001A0A1F"/>
    <w:rsid w:val="001A1CB3"/>
    <w:rsid w:val="001A20F2"/>
    <w:rsid w:val="001A2C60"/>
    <w:rsid w:val="001A5F84"/>
    <w:rsid w:val="001C4497"/>
    <w:rsid w:val="001C4914"/>
    <w:rsid w:val="001C65FA"/>
    <w:rsid w:val="001D2A4F"/>
    <w:rsid w:val="001E113B"/>
    <w:rsid w:val="001E4945"/>
    <w:rsid w:val="001F2257"/>
    <w:rsid w:val="001F3A9F"/>
    <w:rsid w:val="00211312"/>
    <w:rsid w:val="00212913"/>
    <w:rsid w:val="00214AA7"/>
    <w:rsid w:val="002211AA"/>
    <w:rsid w:val="0023042F"/>
    <w:rsid w:val="00241F35"/>
    <w:rsid w:val="00253692"/>
    <w:rsid w:val="0025654C"/>
    <w:rsid w:val="00260873"/>
    <w:rsid w:val="00265C5A"/>
    <w:rsid w:val="00270C66"/>
    <w:rsid w:val="00282B95"/>
    <w:rsid w:val="00286A1F"/>
    <w:rsid w:val="00290909"/>
    <w:rsid w:val="00291DB2"/>
    <w:rsid w:val="002923E8"/>
    <w:rsid w:val="00297CD9"/>
    <w:rsid w:val="002A0B5F"/>
    <w:rsid w:val="002A7433"/>
    <w:rsid w:val="002B41DB"/>
    <w:rsid w:val="002C1981"/>
    <w:rsid w:val="002C426A"/>
    <w:rsid w:val="002D287C"/>
    <w:rsid w:val="002D768D"/>
    <w:rsid w:val="002E3BDB"/>
    <w:rsid w:val="002E4D1E"/>
    <w:rsid w:val="002E7BE4"/>
    <w:rsid w:val="002F065B"/>
    <w:rsid w:val="002F4E68"/>
    <w:rsid w:val="002F5598"/>
    <w:rsid w:val="002F636D"/>
    <w:rsid w:val="00301156"/>
    <w:rsid w:val="00304796"/>
    <w:rsid w:val="0030572E"/>
    <w:rsid w:val="003057DA"/>
    <w:rsid w:val="00307BD3"/>
    <w:rsid w:val="003105AB"/>
    <w:rsid w:val="00311FD2"/>
    <w:rsid w:val="0031324E"/>
    <w:rsid w:val="003167B1"/>
    <w:rsid w:val="0033604B"/>
    <w:rsid w:val="0034277B"/>
    <w:rsid w:val="00343623"/>
    <w:rsid w:val="00343E1B"/>
    <w:rsid w:val="00347BB8"/>
    <w:rsid w:val="0035139B"/>
    <w:rsid w:val="003533D5"/>
    <w:rsid w:val="0035578C"/>
    <w:rsid w:val="003743DD"/>
    <w:rsid w:val="00375054"/>
    <w:rsid w:val="00375E4F"/>
    <w:rsid w:val="003853F9"/>
    <w:rsid w:val="003A24DC"/>
    <w:rsid w:val="003A5185"/>
    <w:rsid w:val="003B308A"/>
    <w:rsid w:val="003B66FB"/>
    <w:rsid w:val="003B7EAA"/>
    <w:rsid w:val="003C2ED2"/>
    <w:rsid w:val="003C5985"/>
    <w:rsid w:val="003D300B"/>
    <w:rsid w:val="003D60A4"/>
    <w:rsid w:val="003D6542"/>
    <w:rsid w:val="003F3233"/>
    <w:rsid w:val="003F4BB0"/>
    <w:rsid w:val="00401F61"/>
    <w:rsid w:val="00403A9A"/>
    <w:rsid w:val="00406107"/>
    <w:rsid w:val="00410550"/>
    <w:rsid w:val="00410D92"/>
    <w:rsid w:val="0041133F"/>
    <w:rsid w:val="00411981"/>
    <w:rsid w:val="00414687"/>
    <w:rsid w:val="00416216"/>
    <w:rsid w:val="0043251E"/>
    <w:rsid w:val="0044391F"/>
    <w:rsid w:val="00456AF3"/>
    <w:rsid w:val="004666C3"/>
    <w:rsid w:val="00473C76"/>
    <w:rsid w:val="00475896"/>
    <w:rsid w:val="004760C9"/>
    <w:rsid w:val="00484787"/>
    <w:rsid w:val="00492C12"/>
    <w:rsid w:val="0049399E"/>
    <w:rsid w:val="004960CB"/>
    <w:rsid w:val="00496326"/>
    <w:rsid w:val="004A0F93"/>
    <w:rsid w:val="004A1469"/>
    <w:rsid w:val="004A1F0F"/>
    <w:rsid w:val="004A2A60"/>
    <w:rsid w:val="004A2DEB"/>
    <w:rsid w:val="004A4C94"/>
    <w:rsid w:val="004B07F5"/>
    <w:rsid w:val="004C0183"/>
    <w:rsid w:val="004D58BB"/>
    <w:rsid w:val="004E40F6"/>
    <w:rsid w:val="004E5EB0"/>
    <w:rsid w:val="004E7A45"/>
    <w:rsid w:val="004F0151"/>
    <w:rsid w:val="004F0A1D"/>
    <w:rsid w:val="004F1136"/>
    <w:rsid w:val="004F1B60"/>
    <w:rsid w:val="00504A80"/>
    <w:rsid w:val="005063B6"/>
    <w:rsid w:val="00513DC8"/>
    <w:rsid w:val="00515AD7"/>
    <w:rsid w:val="0052050C"/>
    <w:rsid w:val="00524BE4"/>
    <w:rsid w:val="005279E9"/>
    <w:rsid w:val="005322A2"/>
    <w:rsid w:val="005421BC"/>
    <w:rsid w:val="0054349E"/>
    <w:rsid w:val="0057681C"/>
    <w:rsid w:val="00582684"/>
    <w:rsid w:val="00583045"/>
    <w:rsid w:val="00587F56"/>
    <w:rsid w:val="0059119F"/>
    <w:rsid w:val="005A07D0"/>
    <w:rsid w:val="005A6C52"/>
    <w:rsid w:val="005B0315"/>
    <w:rsid w:val="005B65A8"/>
    <w:rsid w:val="005B7979"/>
    <w:rsid w:val="005C356A"/>
    <w:rsid w:val="005D39EF"/>
    <w:rsid w:val="005D655D"/>
    <w:rsid w:val="005E1B19"/>
    <w:rsid w:val="005E60C7"/>
    <w:rsid w:val="006161AC"/>
    <w:rsid w:val="00627164"/>
    <w:rsid w:val="006272BD"/>
    <w:rsid w:val="006349E2"/>
    <w:rsid w:val="00645EDE"/>
    <w:rsid w:val="00647229"/>
    <w:rsid w:val="006571FF"/>
    <w:rsid w:val="00664951"/>
    <w:rsid w:val="0067588A"/>
    <w:rsid w:val="00676351"/>
    <w:rsid w:val="00690E63"/>
    <w:rsid w:val="00697D98"/>
    <w:rsid w:val="006A4384"/>
    <w:rsid w:val="006B016A"/>
    <w:rsid w:val="006B61EC"/>
    <w:rsid w:val="006E2032"/>
    <w:rsid w:val="006E4525"/>
    <w:rsid w:val="006E4CE0"/>
    <w:rsid w:val="006F2B1A"/>
    <w:rsid w:val="00701252"/>
    <w:rsid w:val="00711E75"/>
    <w:rsid w:val="00713477"/>
    <w:rsid w:val="00715F4A"/>
    <w:rsid w:val="00720911"/>
    <w:rsid w:val="00722855"/>
    <w:rsid w:val="00727C58"/>
    <w:rsid w:val="007317E8"/>
    <w:rsid w:val="00736281"/>
    <w:rsid w:val="00746043"/>
    <w:rsid w:val="007509FF"/>
    <w:rsid w:val="007541C8"/>
    <w:rsid w:val="00757C92"/>
    <w:rsid w:val="007601CB"/>
    <w:rsid w:val="007657BE"/>
    <w:rsid w:val="00772F57"/>
    <w:rsid w:val="00775FB4"/>
    <w:rsid w:val="00775FDF"/>
    <w:rsid w:val="007821BE"/>
    <w:rsid w:val="0078424D"/>
    <w:rsid w:val="00791DCF"/>
    <w:rsid w:val="0079378F"/>
    <w:rsid w:val="00794CD7"/>
    <w:rsid w:val="00797581"/>
    <w:rsid w:val="007A412C"/>
    <w:rsid w:val="007A42BE"/>
    <w:rsid w:val="007A4909"/>
    <w:rsid w:val="007A607E"/>
    <w:rsid w:val="007B302B"/>
    <w:rsid w:val="007B715C"/>
    <w:rsid w:val="007D11CF"/>
    <w:rsid w:val="007D1D0F"/>
    <w:rsid w:val="007D350A"/>
    <w:rsid w:val="007D7E9E"/>
    <w:rsid w:val="007E19EB"/>
    <w:rsid w:val="007E27DE"/>
    <w:rsid w:val="007E3EE4"/>
    <w:rsid w:val="007E416F"/>
    <w:rsid w:val="007E44BA"/>
    <w:rsid w:val="007F0150"/>
    <w:rsid w:val="007F27BA"/>
    <w:rsid w:val="007F4EEA"/>
    <w:rsid w:val="00804B51"/>
    <w:rsid w:val="00810B11"/>
    <w:rsid w:val="008137AE"/>
    <w:rsid w:val="008138A0"/>
    <w:rsid w:val="00814A9C"/>
    <w:rsid w:val="008210E7"/>
    <w:rsid w:val="008218F3"/>
    <w:rsid w:val="00827F42"/>
    <w:rsid w:val="00843DC1"/>
    <w:rsid w:val="00846BF1"/>
    <w:rsid w:val="00852626"/>
    <w:rsid w:val="00852B00"/>
    <w:rsid w:val="0085459E"/>
    <w:rsid w:val="00873E99"/>
    <w:rsid w:val="00874B1F"/>
    <w:rsid w:val="008A176A"/>
    <w:rsid w:val="008B05B5"/>
    <w:rsid w:val="008B583D"/>
    <w:rsid w:val="008C3DB3"/>
    <w:rsid w:val="008D1BBC"/>
    <w:rsid w:val="008D2D33"/>
    <w:rsid w:val="008E0BBC"/>
    <w:rsid w:val="008F6B4A"/>
    <w:rsid w:val="008F6E75"/>
    <w:rsid w:val="009001D5"/>
    <w:rsid w:val="00901656"/>
    <w:rsid w:val="0090332B"/>
    <w:rsid w:val="009131DF"/>
    <w:rsid w:val="009178EE"/>
    <w:rsid w:val="00922A48"/>
    <w:rsid w:val="00925075"/>
    <w:rsid w:val="00930698"/>
    <w:rsid w:val="009407AF"/>
    <w:rsid w:val="00951F86"/>
    <w:rsid w:val="00954A0C"/>
    <w:rsid w:val="00960508"/>
    <w:rsid w:val="009620D5"/>
    <w:rsid w:val="0097748D"/>
    <w:rsid w:val="009815AD"/>
    <w:rsid w:val="00995BA8"/>
    <w:rsid w:val="00997453"/>
    <w:rsid w:val="009A5A2F"/>
    <w:rsid w:val="009A706B"/>
    <w:rsid w:val="009B202D"/>
    <w:rsid w:val="009B5282"/>
    <w:rsid w:val="009C5963"/>
    <w:rsid w:val="009D5CFB"/>
    <w:rsid w:val="009E20BF"/>
    <w:rsid w:val="009E40C1"/>
    <w:rsid w:val="009F1147"/>
    <w:rsid w:val="009F384C"/>
    <w:rsid w:val="009F444B"/>
    <w:rsid w:val="009F7904"/>
    <w:rsid w:val="00A0383C"/>
    <w:rsid w:val="00A03BE7"/>
    <w:rsid w:val="00A31F47"/>
    <w:rsid w:val="00A329BA"/>
    <w:rsid w:val="00A44FC4"/>
    <w:rsid w:val="00A45518"/>
    <w:rsid w:val="00A50800"/>
    <w:rsid w:val="00A51599"/>
    <w:rsid w:val="00A7096F"/>
    <w:rsid w:val="00A77751"/>
    <w:rsid w:val="00A81EF2"/>
    <w:rsid w:val="00A87FC1"/>
    <w:rsid w:val="00A90C56"/>
    <w:rsid w:val="00A922E0"/>
    <w:rsid w:val="00AA6B46"/>
    <w:rsid w:val="00AB1E29"/>
    <w:rsid w:val="00AB2743"/>
    <w:rsid w:val="00AB2A67"/>
    <w:rsid w:val="00AB31D4"/>
    <w:rsid w:val="00AC1C76"/>
    <w:rsid w:val="00AC2A6A"/>
    <w:rsid w:val="00AC5EFB"/>
    <w:rsid w:val="00AC7DE7"/>
    <w:rsid w:val="00AD1434"/>
    <w:rsid w:val="00AD4269"/>
    <w:rsid w:val="00AE1EA1"/>
    <w:rsid w:val="00AE2514"/>
    <w:rsid w:val="00AF3711"/>
    <w:rsid w:val="00AF6EDC"/>
    <w:rsid w:val="00B05BDD"/>
    <w:rsid w:val="00B11312"/>
    <w:rsid w:val="00B11B39"/>
    <w:rsid w:val="00B14E02"/>
    <w:rsid w:val="00B16248"/>
    <w:rsid w:val="00B16E8C"/>
    <w:rsid w:val="00B22B96"/>
    <w:rsid w:val="00B26174"/>
    <w:rsid w:val="00B40142"/>
    <w:rsid w:val="00B402E7"/>
    <w:rsid w:val="00B42BD2"/>
    <w:rsid w:val="00B4620C"/>
    <w:rsid w:val="00B46CF6"/>
    <w:rsid w:val="00B5624B"/>
    <w:rsid w:val="00B66F60"/>
    <w:rsid w:val="00B72F96"/>
    <w:rsid w:val="00B77DA8"/>
    <w:rsid w:val="00B82045"/>
    <w:rsid w:val="00B8593A"/>
    <w:rsid w:val="00B94CA7"/>
    <w:rsid w:val="00B97CAF"/>
    <w:rsid w:val="00BA70C5"/>
    <w:rsid w:val="00BB5E6E"/>
    <w:rsid w:val="00BC0173"/>
    <w:rsid w:val="00BD28D4"/>
    <w:rsid w:val="00BD2D36"/>
    <w:rsid w:val="00BE1173"/>
    <w:rsid w:val="00BE31D8"/>
    <w:rsid w:val="00BE4A77"/>
    <w:rsid w:val="00BE4D63"/>
    <w:rsid w:val="00BE5A80"/>
    <w:rsid w:val="00BE7ECE"/>
    <w:rsid w:val="00BF1308"/>
    <w:rsid w:val="00BF5C0A"/>
    <w:rsid w:val="00C04DA9"/>
    <w:rsid w:val="00C0706C"/>
    <w:rsid w:val="00C139F9"/>
    <w:rsid w:val="00C17374"/>
    <w:rsid w:val="00C222B5"/>
    <w:rsid w:val="00C50C36"/>
    <w:rsid w:val="00C533CE"/>
    <w:rsid w:val="00C53496"/>
    <w:rsid w:val="00C5607E"/>
    <w:rsid w:val="00C70FC9"/>
    <w:rsid w:val="00C86FDC"/>
    <w:rsid w:val="00C91E15"/>
    <w:rsid w:val="00C91F32"/>
    <w:rsid w:val="00C97778"/>
    <w:rsid w:val="00C97E17"/>
    <w:rsid w:val="00CA3FF1"/>
    <w:rsid w:val="00CA49C2"/>
    <w:rsid w:val="00CA7179"/>
    <w:rsid w:val="00CB5279"/>
    <w:rsid w:val="00CE0FCE"/>
    <w:rsid w:val="00CE4BCE"/>
    <w:rsid w:val="00CF1419"/>
    <w:rsid w:val="00CF2C26"/>
    <w:rsid w:val="00D01B49"/>
    <w:rsid w:val="00D13D95"/>
    <w:rsid w:val="00D14845"/>
    <w:rsid w:val="00D219C1"/>
    <w:rsid w:val="00D22777"/>
    <w:rsid w:val="00D23094"/>
    <w:rsid w:val="00D2344A"/>
    <w:rsid w:val="00D2483C"/>
    <w:rsid w:val="00D27F65"/>
    <w:rsid w:val="00D342C4"/>
    <w:rsid w:val="00D34E8C"/>
    <w:rsid w:val="00D42BAB"/>
    <w:rsid w:val="00D44EB9"/>
    <w:rsid w:val="00D60F0C"/>
    <w:rsid w:val="00D644B9"/>
    <w:rsid w:val="00D6553A"/>
    <w:rsid w:val="00D6614F"/>
    <w:rsid w:val="00D76291"/>
    <w:rsid w:val="00D778A3"/>
    <w:rsid w:val="00D80F4A"/>
    <w:rsid w:val="00D86602"/>
    <w:rsid w:val="00D87D59"/>
    <w:rsid w:val="00D93DC5"/>
    <w:rsid w:val="00DA0200"/>
    <w:rsid w:val="00DB5BD5"/>
    <w:rsid w:val="00DB790F"/>
    <w:rsid w:val="00DC0526"/>
    <w:rsid w:val="00DC429A"/>
    <w:rsid w:val="00DC5076"/>
    <w:rsid w:val="00DD0AE7"/>
    <w:rsid w:val="00DD1E3D"/>
    <w:rsid w:val="00DE476E"/>
    <w:rsid w:val="00DF0066"/>
    <w:rsid w:val="00DF242C"/>
    <w:rsid w:val="00DF4F56"/>
    <w:rsid w:val="00E0359C"/>
    <w:rsid w:val="00E037A9"/>
    <w:rsid w:val="00E0570A"/>
    <w:rsid w:val="00E068FE"/>
    <w:rsid w:val="00E10BE7"/>
    <w:rsid w:val="00E11BE6"/>
    <w:rsid w:val="00E17A6C"/>
    <w:rsid w:val="00E25520"/>
    <w:rsid w:val="00E31E9A"/>
    <w:rsid w:val="00E328BB"/>
    <w:rsid w:val="00E35177"/>
    <w:rsid w:val="00E41CDF"/>
    <w:rsid w:val="00E614EC"/>
    <w:rsid w:val="00E62200"/>
    <w:rsid w:val="00E669E3"/>
    <w:rsid w:val="00E81F75"/>
    <w:rsid w:val="00E8223C"/>
    <w:rsid w:val="00E84A2C"/>
    <w:rsid w:val="00EA543A"/>
    <w:rsid w:val="00EA5D77"/>
    <w:rsid w:val="00EB0BEC"/>
    <w:rsid w:val="00EB3CA9"/>
    <w:rsid w:val="00EC0447"/>
    <w:rsid w:val="00EC34F5"/>
    <w:rsid w:val="00ED61BB"/>
    <w:rsid w:val="00ED6968"/>
    <w:rsid w:val="00EF6823"/>
    <w:rsid w:val="00EF7411"/>
    <w:rsid w:val="00F079B2"/>
    <w:rsid w:val="00F14672"/>
    <w:rsid w:val="00F20CB3"/>
    <w:rsid w:val="00F260C1"/>
    <w:rsid w:val="00F50753"/>
    <w:rsid w:val="00F5377B"/>
    <w:rsid w:val="00F54254"/>
    <w:rsid w:val="00F664B1"/>
    <w:rsid w:val="00F75959"/>
    <w:rsid w:val="00F760D8"/>
    <w:rsid w:val="00F84D46"/>
    <w:rsid w:val="00FA1BF4"/>
    <w:rsid w:val="00FA20CE"/>
    <w:rsid w:val="00FB4645"/>
    <w:rsid w:val="00FB7335"/>
    <w:rsid w:val="00FC0138"/>
    <w:rsid w:val="00FC1D23"/>
    <w:rsid w:val="00FC6D9C"/>
    <w:rsid w:val="00FF217F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56F63"/>
  <w15:docId w15:val="{0426FA6E-32F3-487D-AD7E-5B45B4C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1A"/>
  </w:style>
  <w:style w:type="paragraph" w:styleId="Footer">
    <w:name w:val="footer"/>
    <w:basedOn w:val="Normal"/>
    <w:link w:val="FooterChar"/>
    <w:uiPriority w:val="99"/>
    <w:unhideWhenUsed/>
    <w:rsid w:val="006F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1A"/>
  </w:style>
  <w:style w:type="paragraph" w:styleId="BalloonText">
    <w:name w:val="Balloon Text"/>
    <w:basedOn w:val="Normal"/>
    <w:link w:val="BalloonTextChar"/>
    <w:uiPriority w:val="99"/>
    <w:semiHidden/>
    <w:unhideWhenUsed/>
    <w:rsid w:val="0074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C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F11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11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11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76E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D2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19F"/>
  </w:style>
  <w:style w:type="paragraph" w:styleId="NormalWeb">
    <w:name w:val="Normal (Web)"/>
    <w:basedOn w:val="Normal"/>
    <w:uiPriority w:val="99"/>
    <w:unhideWhenUsed/>
    <w:rsid w:val="004A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3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4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A42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5DAD"/>
    <w:pPr>
      <w:spacing w:after="0" w:line="240" w:lineRule="auto"/>
    </w:pPr>
  </w:style>
  <w:style w:type="paragraph" w:customStyle="1" w:styleId="Default">
    <w:name w:val="Default"/>
    <w:rsid w:val="0037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75E4F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1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95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s.doc.gov/index.php/forms-documents/doc_download/1005-don-t-let-this-happen-to-you-073115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2C6438-A38D-4DA3-955F-8A603DDAA781}"/>
</file>

<file path=customXml/itemProps2.xml><?xml version="1.0" encoding="utf-8"?>
<ds:datastoreItem xmlns:ds="http://schemas.openxmlformats.org/officeDocument/2006/customXml" ds:itemID="{5D4800F5-71AF-4295-AD12-0898AE7803B8}"/>
</file>

<file path=customXml/itemProps3.xml><?xml version="1.0" encoding="utf-8"?>
<ds:datastoreItem xmlns:ds="http://schemas.openxmlformats.org/officeDocument/2006/customXml" ds:itemID="{AF85145E-C3BC-4EB4-B06E-35545AC70B0B}"/>
</file>

<file path=customXml/itemProps4.xml><?xml version="1.0" encoding="utf-8"?>
<ds:datastoreItem xmlns:ds="http://schemas.openxmlformats.org/officeDocument/2006/customXml" ds:itemID="{3F9F65E9-9F1F-0947-8B28-C8508D850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4361</Words>
  <Characters>24991</Characters>
  <Application>Microsoft Office Word</Application>
  <DocSecurity>0</DocSecurity>
  <Lines>409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Microsoft Office User</cp:lastModifiedBy>
  <cp:revision>47</cp:revision>
  <dcterms:created xsi:type="dcterms:W3CDTF">2019-10-09T12:07:00Z</dcterms:created>
  <dcterms:modified xsi:type="dcterms:W3CDTF">2019-10-21T17:51:00Z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